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39" w:rsidRDefault="00554639" w:rsidP="00006797">
      <w:pPr>
        <w:jc w:val="center"/>
        <w:rPr>
          <w:b/>
        </w:rPr>
      </w:pPr>
    </w:p>
    <w:p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746727">
        <w:rPr>
          <w:b/>
        </w:rPr>
        <w:t>10 March</w:t>
      </w:r>
      <w:r w:rsidR="00FE628B">
        <w:rPr>
          <w:b/>
        </w:rPr>
        <w:t xml:space="preserve"> 2</w:t>
      </w:r>
      <w:r>
        <w:rPr>
          <w:b/>
        </w:rPr>
        <w:t>0</w:t>
      </w:r>
      <w:r w:rsidR="003942A4">
        <w:rPr>
          <w:b/>
        </w:rPr>
        <w:t>20</w:t>
      </w:r>
    </w:p>
    <w:p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7D56B2">
        <w:t xml:space="preserve"> </w:t>
      </w:r>
      <w:r w:rsidR="00FE628B" w:rsidRPr="00FE628B">
        <w:t>Prof Dave Taylor (DT)</w:t>
      </w:r>
      <w:r w:rsidR="00FE628B">
        <w:t>,</w:t>
      </w:r>
      <w:r w:rsidR="007D56B2">
        <w:t xml:space="preserve"> </w:t>
      </w:r>
      <w:r w:rsidR="00C93228">
        <w:t xml:space="preserve">Liz Towns-Andrews (LTA),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 w:rsidR="00C93228">
        <w:t xml:space="preserve">Siobhan Moss (SM) and </w:t>
      </w:r>
      <w:r>
        <w:t>Kirsty Taylor</w:t>
      </w:r>
      <w:r w:rsidR="00647E4F">
        <w:t xml:space="preserve"> (KT)</w:t>
      </w:r>
      <w:r w:rsidR="00FE628B">
        <w:t xml:space="preserve"> </w:t>
      </w:r>
    </w:p>
    <w:p w:rsidR="00006797" w:rsidRPr="00006797" w:rsidRDefault="00006797" w:rsidP="00006797">
      <w:r>
        <w:rPr>
          <w:b/>
        </w:rPr>
        <w:t xml:space="preserve">IN ATTENDANCE: </w:t>
      </w:r>
      <w:r w:rsidR="007274BB">
        <w:t>Deborah Wills</w:t>
      </w:r>
      <w:r>
        <w:t xml:space="preserve"> (notes)</w:t>
      </w:r>
      <w:r w:rsidR="002452F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:rsidTr="008E04C1">
        <w:tc>
          <w:tcPr>
            <w:tcW w:w="562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:rsidR="00006797" w:rsidRPr="00006797" w:rsidRDefault="00006797" w:rsidP="0000679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:rsidTr="008E04C1">
        <w:tc>
          <w:tcPr>
            <w:tcW w:w="562" w:type="dxa"/>
          </w:tcPr>
          <w:p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:rsidR="00647E4F" w:rsidRDefault="00647E4F" w:rsidP="00006797"/>
          <w:p w:rsidR="00174B21" w:rsidRDefault="003942A4" w:rsidP="00006797">
            <w:r>
              <w:t>1</w:t>
            </w:r>
            <w:r w:rsidR="00647E4F">
              <w:t>.1</w:t>
            </w:r>
          </w:p>
          <w:p w:rsidR="00435F7E" w:rsidRDefault="00435F7E" w:rsidP="00006797"/>
          <w:p w:rsidR="0075786A" w:rsidRDefault="003942A4" w:rsidP="00FE628B">
            <w:r>
              <w:t>1</w:t>
            </w:r>
            <w:r w:rsidR="00435F7E">
              <w:t>.2</w:t>
            </w:r>
          </w:p>
          <w:p w:rsidR="00B22A1F" w:rsidRPr="00647E4F" w:rsidRDefault="00B22A1F" w:rsidP="00FE628B"/>
        </w:tc>
        <w:tc>
          <w:tcPr>
            <w:tcW w:w="7371" w:type="dxa"/>
          </w:tcPr>
          <w:p w:rsidR="00006797" w:rsidRDefault="007D56B2" w:rsidP="00006797">
            <w:r>
              <w:rPr>
                <w:b/>
              </w:rPr>
              <w:t xml:space="preserve">MINUTES OF THE MEETING </w:t>
            </w:r>
            <w:r w:rsidR="00026A75">
              <w:rPr>
                <w:b/>
              </w:rPr>
              <w:t>24 FEBRUARY</w:t>
            </w:r>
            <w:r w:rsidR="00F27341">
              <w:rPr>
                <w:b/>
              </w:rPr>
              <w:t xml:space="preserve"> 2020</w:t>
            </w:r>
            <w:r>
              <w:rPr>
                <w:b/>
              </w:rPr>
              <w:t xml:space="preserve"> AND MATTERS ARISING</w:t>
            </w:r>
          </w:p>
          <w:p w:rsidR="00006797" w:rsidRDefault="00006797" w:rsidP="00006797"/>
          <w:p w:rsidR="00B22A1F" w:rsidRDefault="007D56B2" w:rsidP="00006797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:rsidR="00B22A1F" w:rsidRDefault="00B22A1F" w:rsidP="00006797"/>
          <w:p w:rsidR="007C4E8B" w:rsidRPr="007C4E8B" w:rsidRDefault="007C0794" w:rsidP="007C0794">
            <w:r>
              <w:t xml:space="preserve">Item 3 – KT confirmed that 35 </w:t>
            </w:r>
            <w:r w:rsidR="002A689B">
              <w:t xml:space="preserve">outputs currently internally assessed as </w:t>
            </w:r>
            <w:r>
              <w:t>unclassified have been sent out for external review.</w:t>
            </w:r>
          </w:p>
        </w:tc>
        <w:tc>
          <w:tcPr>
            <w:tcW w:w="1083" w:type="dxa"/>
          </w:tcPr>
          <w:p w:rsidR="00640F77" w:rsidRDefault="00640F77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B22A1F" w:rsidRDefault="00B22A1F" w:rsidP="000A792B">
            <w:pPr>
              <w:jc w:val="center"/>
              <w:rPr>
                <w:b/>
              </w:rPr>
            </w:pPr>
          </w:p>
          <w:p w:rsidR="00BC0FD6" w:rsidRDefault="00BC0FD6" w:rsidP="000569AA">
            <w:pPr>
              <w:jc w:val="center"/>
              <w:rPr>
                <w:b/>
                <w:strike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</w:tc>
      </w:tr>
      <w:tr w:rsidR="00B7484B" w:rsidTr="008E04C1">
        <w:tc>
          <w:tcPr>
            <w:tcW w:w="562" w:type="dxa"/>
          </w:tcPr>
          <w:p w:rsidR="00B7484B" w:rsidRDefault="002A689B" w:rsidP="00223857">
            <w:pPr>
              <w:rPr>
                <w:b/>
              </w:rPr>
            </w:pPr>
            <w:r>
              <w:rPr>
                <w:b/>
              </w:rPr>
              <w:t>2</w:t>
            </w:r>
            <w:r w:rsidR="00C23337">
              <w:rPr>
                <w:b/>
              </w:rPr>
              <w:t>.</w:t>
            </w:r>
          </w:p>
          <w:p w:rsidR="00C23337" w:rsidRDefault="00C23337" w:rsidP="00223857">
            <w:pPr>
              <w:rPr>
                <w:b/>
              </w:rPr>
            </w:pPr>
          </w:p>
          <w:p w:rsidR="00C23337" w:rsidRDefault="002A689B" w:rsidP="00223857">
            <w:r>
              <w:t>2</w:t>
            </w:r>
            <w:r w:rsidR="00C23337">
              <w:t>.1</w:t>
            </w:r>
          </w:p>
          <w:p w:rsidR="00A51C70" w:rsidRDefault="00A51C70" w:rsidP="00223857"/>
          <w:p w:rsidR="00B038D6" w:rsidRDefault="00B038D6" w:rsidP="00223857"/>
          <w:p w:rsidR="00CE6564" w:rsidRDefault="00CE6564" w:rsidP="00223857"/>
          <w:p w:rsidR="00CE6564" w:rsidRDefault="00CE6564" w:rsidP="00223857"/>
          <w:p w:rsidR="00CE6564" w:rsidRDefault="00CE6564" w:rsidP="00223857"/>
          <w:p w:rsidR="00CE6564" w:rsidRDefault="00CE6564" w:rsidP="00223857"/>
          <w:p w:rsidR="00CE6564" w:rsidRDefault="002A689B" w:rsidP="00223857">
            <w:r>
              <w:t>2</w:t>
            </w:r>
            <w:r w:rsidR="00CE6564">
              <w:t>.2</w:t>
            </w:r>
          </w:p>
          <w:p w:rsidR="00CE6564" w:rsidRDefault="00CE6564" w:rsidP="00223857"/>
          <w:p w:rsidR="00CE6564" w:rsidRDefault="00CE6564" w:rsidP="00223857"/>
          <w:p w:rsidR="00CE6564" w:rsidRDefault="002A689B" w:rsidP="00223857">
            <w:r>
              <w:t>2</w:t>
            </w:r>
            <w:r w:rsidR="00CE6564">
              <w:t>.3</w:t>
            </w:r>
          </w:p>
          <w:p w:rsidR="00D16578" w:rsidRDefault="00D16578" w:rsidP="00223857"/>
          <w:p w:rsidR="00D16578" w:rsidRDefault="00D16578" w:rsidP="00223857"/>
          <w:p w:rsidR="00D16578" w:rsidRDefault="0091592D" w:rsidP="00223857">
            <w:r>
              <w:t>2</w:t>
            </w:r>
            <w:r w:rsidR="00D16578">
              <w:t>.4</w:t>
            </w:r>
          </w:p>
          <w:p w:rsidR="006E6547" w:rsidRDefault="006E6547" w:rsidP="00223857"/>
          <w:p w:rsidR="006E6547" w:rsidRDefault="006E6547" w:rsidP="00223857"/>
          <w:p w:rsidR="006E6547" w:rsidRDefault="006E6547" w:rsidP="00223857"/>
          <w:p w:rsidR="006E6547" w:rsidRDefault="006E6547" w:rsidP="00223857">
            <w:r>
              <w:t>3.5</w:t>
            </w:r>
          </w:p>
          <w:p w:rsidR="006E6547" w:rsidRDefault="006E6547" w:rsidP="00223857"/>
          <w:p w:rsidR="006E6547" w:rsidRDefault="006E6547" w:rsidP="00223857">
            <w:r>
              <w:t>3.6</w:t>
            </w:r>
          </w:p>
          <w:p w:rsidR="00EF6C5F" w:rsidRDefault="00EF6C5F" w:rsidP="00223857"/>
          <w:p w:rsidR="00EF6C5F" w:rsidRDefault="00EF6C5F" w:rsidP="00223857"/>
          <w:p w:rsidR="00EF6C5F" w:rsidRDefault="00EF6C5F" w:rsidP="00223857">
            <w:bookmarkStart w:id="0" w:name="_GoBack"/>
            <w:bookmarkEnd w:id="0"/>
          </w:p>
          <w:p w:rsidR="00EF6C5F" w:rsidRPr="00C23337" w:rsidRDefault="00EF6C5F" w:rsidP="00223857"/>
        </w:tc>
        <w:tc>
          <w:tcPr>
            <w:tcW w:w="7371" w:type="dxa"/>
          </w:tcPr>
          <w:p w:rsidR="00554639" w:rsidRPr="00705BF0" w:rsidRDefault="00705BF0" w:rsidP="00C23337">
            <w:pPr>
              <w:rPr>
                <w:b/>
              </w:rPr>
            </w:pPr>
            <w:r w:rsidRPr="00705BF0">
              <w:rPr>
                <w:b/>
              </w:rPr>
              <w:t>MOCK REF 2020 EXERCISE UPDATE</w:t>
            </w:r>
          </w:p>
          <w:p w:rsidR="00705BF0" w:rsidRDefault="00705BF0" w:rsidP="00C23337">
            <w:pPr>
              <w:rPr>
                <w:bCs/>
              </w:rPr>
            </w:pPr>
          </w:p>
          <w:p w:rsidR="00077D17" w:rsidRDefault="00BF60BC" w:rsidP="000F12D5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2A689B">
              <w:rPr>
                <w:bCs/>
              </w:rPr>
              <w:t xml:space="preserve">next wave </w:t>
            </w:r>
            <w:r>
              <w:rPr>
                <w:bCs/>
              </w:rPr>
              <w:t xml:space="preserve">identification process has begun, which has been difficult due to the impact of the strike.  </w:t>
            </w:r>
            <w:r w:rsidR="00077D17">
              <w:rPr>
                <w:bCs/>
              </w:rPr>
              <w:t xml:space="preserve">There are now staff that are </w:t>
            </w:r>
            <w:r w:rsidR="002A689B">
              <w:rPr>
                <w:bCs/>
              </w:rPr>
              <w:t xml:space="preserve">confirmed as </w:t>
            </w:r>
            <w:r w:rsidR="00077D17">
              <w:rPr>
                <w:bCs/>
              </w:rPr>
              <w:t xml:space="preserve">SRR, who have passed their PhD </w:t>
            </w:r>
            <w:r w:rsidR="002A689B">
              <w:rPr>
                <w:bCs/>
              </w:rPr>
              <w:t xml:space="preserve">and </w:t>
            </w:r>
            <w:r w:rsidR="00077D17">
              <w:rPr>
                <w:bCs/>
              </w:rPr>
              <w:t>have 2* or above outputs.  There are 16 staff</w:t>
            </w:r>
            <w:r w:rsidR="00A611F6">
              <w:rPr>
                <w:bCs/>
              </w:rPr>
              <w:t xml:space="preserve"> that were</w:t>
            </w:r>
            <w:r w:rsidR="00077D17">
              <w:rPr>
                <w:bCs/>
              </w:rPr>
              <w:t xml:space="preserve"> expected to be included that are not</w:t>
            </w:r>
            <w:r w:rsidR="00A611F6">
              <w:rPr>
                <w:bCs/>
              </w:rPr>
              <w:t>,</w:t>
            </w:r>
            <w:r w:rsidR="00077D17">
              <w:rPr>
                <w:bCs/>
              </w:rPr>
              <w:t xml:space="preserve"> as they are still to complete</w:t>
            </w:r>
            <w:r w:rsidR="002A689B">
              <w:rPr>
                <w:bCs/>
              </w:rPr>
              <w:t xml:space="preserve"> their PhD</w:t>
            </w:r>
            <w:r w:rsidR="00077D17">
              <w:rPr>
                <w:bCs/>
              </w:rPr>
              <w:t xml:space="preserve"> or will not have any </w:t>
            </w:r>
            <w:r w:rsidR="002A689B">
              <w:rPr>
                <w:bCs/>
              </w:rPr>
              <w:t xml:space="preserve">2* </w:t>
            </w:r>
            <w:r w:rsidR="00077D17">
              <w:rPr>
                <w:bCs/>
              </w:rPr>
              <w:t xml:space="preserve">outputs.  </w:t>
            </w:r>
            <w:r w:rsidR="002A689B">
              <w:rPr>
                <w:bCs/>
              </w:rPr>
              <w:t xml:space="preserve">Further work is required to complete the process for all staff. </w:t>
            </w:r>
          </w:p>
          <w:p w:rsidR="0091592D" w:rsidRDefault="0091592D" w:rsidP="000F12D5">
            <w:pPr>
              <w:rPr>
                <w:bCs/>
              </w:rPr>
            </w:pPr>
          </w:p>
          <w:p w:rsidR="0091592D" w:rsidRDefault="0091592D" w:rsidP="000F12D5">
            <w:pPr>
              <w:rPr>
                <w:bCs/>
              </w:rPr>
            </w:pPr>
            <w:r>
              <w:rPr>
                <w:bCs/>
              </w:rPr>
              <w:t>Letters clarifying identification status for this wave of staff will be sent out in April, with the opportunity to appeal.</w:t>
            </w:r>
          </w:p>
          <w:p w:rsidR="0091592D" w:rsidRDefault="0091592D" w:rsidP="000F12D5">
            <w:pPr>
              <w:rPr>
                <w:bCs/>
              </w:rPr>
            </w:pPr>
          </w:p>
          <w:p w:rsidR="0091592D" w:rsidRDefault="0091592D" w:rsidP="000F12D5">
            <w:pPr>
              <w:rPr>
                <w:bCs/>
              </w:rPr>
            </w:pPr>
            <w:r>
              <w:rPr>
                <w:bCs/>
              </w:rPr>
              <w:t>The next round of invitation for individual circumstances declarations is due to start in May.</w:t>
            </w:r>
          </w:p>
          <w:p w:rsidR="00CE6564" w:rsidRDefault="00CE6564" w:rsidP="000F12D5">
            <w:pPr>
              <w:rPr>
                <w:bCs/>
              </w:rPr>
            </w:pPr>
          </w:p>
          <w:p w:rsidR="00CE6564" w:rsidRDefault="00CE6564" w:rsidP="000F12D5">
            <w:pPr>
              <w:rPr>
                <w:bCs/>
              </w:rPr>
            </w:pPr>
            <w:r>
              <w:rPr>
                <w:bCs/>
              </w:rPr>
              <w:t>Deans will be provided with a list of staff that have a PhD award, that are not publishing.  They will be able to identify measures that can be put in place to support</w:t>
            </w:r>
            <w:r w:rsidR="00A611F6">
              <w:rPr>
                <w:bCs/>
              </w:rPr>
              <w:t xml:space="preserve"> these</w:t>
            </w:r>
            <w:r>
              <w:rPr>
                <w:bCs/>
              </w:rPr>
              <w:t xml:space="preserve"> staff.  </w:t>
            </w:r>
          </w:p>
          <w:p w:rsidR="00D16578" w:rsidRDefault="00D16578" w:rsidP="000F12D5">
            <w:pPr>
              <w:rPr>
                <w:bCs/>
              </w:rPr>
            </w:pPr>
          </w:p>
          <w:p w:rsidR="0091592D" w:rsidRDefault="00EC5C0B" w:rsidP="000F12D5">
            <w:pPr>
              <w:rPr>
                <w:bCs/>
              </w:rPr>
            </w:pPr>
            <w:r>
              <w:rPr>
                <w:bCs/>
              </w:rPr>
              <w:t xml:space="preserve">One </w:t>
            </w:r>
            <w:r w:rsidR="0091592D">
              <w:rPr>
                <w:bCs/>
              </w:rPr>
              <w:t xml:space="preserve">individual circumstances </w:t>
            </w:r>
            <w:r>
              <w:rPr>
                <w:bCs/>
              </w:rPr>
              <w:t>appeal is ongoing via HR</w:t>
            </w:r>
            <w:r w:rsidR="0091592D">
              <w:rPr>
                <w:bCs/>
              </w:rPr>
              <w:t>.</w:t>
            </w:r>
          </w:p>
          <w:p w:rsidR="0091592D" w:rsidRDefault="0091592D" w:rsidP="002A689B">
            <w:pPr>
              <w:rPr>
                <w:bCs/>
              </w:rPr>
            </w:pPr>
          </w:p>
          <w:p w:rsidR="002A689B" w:rsidRDefault="0091592D" w:rsidP="002A689B">
            <w:pPr>
              <w:rPr>
                <w:bCs/>
              </w:rPr>
            </w:pPr>
            <w:r>
              <w:rPr>
                <w:bCs/>
              </w:rPr>
              <w:t>It is possible that th</w:t>
            </w:r>
            <w:r w:rsidR="002A689B">
              <w:rPr>
                <w:bCs/>
              </w:rPr>
              <w:t xml:space="preserve">ere are some cases where joint authors in the same UOA </w:t>
            </w:r>
            <w:r>
              <w:rPr>
                <w:bCs/>
              </w:rPr>
              <w:t>may have only one output between them. Mock REF will identify these situations and encourage additional outputs to be submitted to ensure that a minimum of one output per person is identified.</w:t>
            </w:r>
          </w:p>
          <w:p w:rsidR="00EF6C5F" w:rsidRPr="00705BF0" w:rsidRDefault="00EF6C5F" w:rsidP="000F12D5">
            <w:pPr>
              <w:rPr>
                <w:bCs/>
              </w:rPr>
            </w:pPr>
          </w:p>
        </w:tc>
        <w:tc>
          <w:tcPr>
            <w:tcW w:w="1083" w:type="dxa"/>
          </w:tcPr>
          <w:p w:rsidR="00B7484B" w:rsidRDefault="00B7484B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D16578">
            <w:pPr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761BBA" w:rsidP="00223857">
            <w:pPr>
              <w:rPr>
                <w:b/>
              </w:rPr>
            </w:pPr>
            <w:r>
              <w:rPr>
                <w:b/>
              </w:rPr>
              <w:t>4</w:t>
            </w:r>
            <w:r w:rsidR="00B3665C">
              <w:rPr>
                <w:b/>
              </w:rPr>
              <w:t>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Default="004A69EE" w:rsidP="00223857">
            <w:r>
              <w:t>4.1</w:t>
            </w:r>
          </w:p>
          <w:p w:rsidR="00A611F6" w:rsidRDefault="00A611F6" w:rsidP="00223857"/>
          <w:p w:rsidR="00A611F6" w:rsidRDefault="00A611F6" w:rsidP="00223857"/>
          <w:p w:rsidR="00A611F6" w:rsidRPr="00B3665C" w:rsidRDefault="00A611F6" w:rsidP="00223857">
            <w:r>
              <w:t>4.2</w:t>
            </w:r>
          </w:p>
        </w:tc>
        <w:tc>
          <w:tcPr>
            <w:tcW w:w="7371" w:type="dxa"/>
          </w:tcPr>
          <w:p w:rsidR="00B3665C" w:rsidRDefault="00B3665C" w:rsidP="00C2333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B3665C" w:rsidRDefault="00B3665C" w:rsidP="00C23337">
            <w:pPr>
              <w:rPr>
                <w:b/>
              </w:rPr>
            </w:pPr>
          </w:p>
          <w:p w:rsidR="004A69EE" w:rsidRDefault="004A69EE" w:rsidP="00B038D6">
            <w:r>
              <w:t xml:space="preserve">TT </w:t>
            </w:r>
            <w:r w:rsidR="00AF5323">
              <w:t>has responded to</w:t>
            </w:r>
            <w:r>
              <w:t xml:space="preserve"> a consultation relating to the process for complaints against institutions not following their Code of Practice.  </w:t>
            </w:r>
          </w:p>
          <w:p w:rsidR="004A69EE" w:rsidRDefault="004A69EE" w:rsidP="00B038D6"/>
          <w:p w:rsidR="00442C1D" w:rsidRDefault="00AF5323" w:rsidP="00B038D6">
            <w:r>
              <w:t>The consultation advised that p</w:t>
            </w:r>
            <w:r w:rsidR="004A69EE">
              <w:t xml:space="preserve">reparations </w:t>
            </w:r>
            <w:r>
              <w:t>will be</w:t>
            </w:r>
            <w:r w:rsidR="004A69EE">
              <w:t xml:space="preserve"> made to </w:t>
            </w:r>
            <w:r>
              <w:t>deal with</w:t>
            </w:r>
            <w:r w:rsidR="004A69EE">
              <w:t xml:space="preserve"> complaints from individuals that are not being properly managed by their institution.  Audit groups </w:t>
            </w:r>
            <w:r>
              <w:t>will</w:t>
            </w:r>
            <w:r w:rsidR="004A69EE">
              <w:t xml:space="preserve"> look for systematic issues they could be concerned about.</w:t>
            </w:r>
            <w:r>
              <w:t xml:space="preserve">  Penalties (remedies) for systematic issues </w:t>
            </w:r>
            <w:r w:rsidR="00E40CEC">
              <w:t>could</w:t>
            </w:r>
            <w:r>
              <w:t xml:space="preserve"> potentially </w:t>
            </w:r>
            <w:r w:rsidR="00E40CEC">
              <w:t>include intervention for</w:t>
            </w:r>
            <w:r>
              <w:t xml:space="preserve"> the next REF</w:t>
            </w:r>
            <w:r w:rsidR="00E40CEC">
              <w:t xml:space="preserve"> on how this</w:t>
            </w:r>
            <w:r>
              <w:t xml:space="preserve"> is run </w:t>
            </w:r>
            <w:r w:rsidR="00E40CEC">
              <w:t xml:space="preserve">by an institution </w:t>
            </w:r>
            <w:r>
              <w:t xml:space="preserve">and </w:t>
            </w:r>
            <w:r w:rsidR="00E40CEC">
              <w:t>also more stringent regulations imposed on</w:t>
            </w:r>
            <w:r>
              <w:t xml:space="preserve"> QR </w:t>
            </w:r>
            <w:r w:rsidR="00E40CEC">
              <w:t>spend</w:t>
            </w:r>
            <w:r>
              <w:t xml:space="preserve">.  </w:t>
            </w:r>
          </w:p>
          <w:p w:rsidR="00B038D6" w:rsidRPr="00B3665C" w:rsidRDefault="00B038D6" w:rsidP="00B038D6"/>
        </w:tc>
        <w:tc>
          <w:tcPr>
            <w:tcW w:w="1083" w:type="dxa"/>
          </w:tcPr>
          <w:p w:rsidR="00B3665C" w:rsidRDefault="00B3665C" w:rsidP="00223857">
            <w:pPr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761BBA" w:rsidP="0022385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3665C">
              <w:rPr>
                <w:b/>
              </w:rPr>
              <w:t>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Pr="00B3665C" w:rsidRDefault="00761BBA" w:rsidP="00223857">
            <w:r>
              <w:t>5</w:t>
            </w:r>
            <w:r w:rsidR="00B3665C">
              <w:t>.1</w:t>
            </w:r>
          </w:p>
        </w:tc>
        <w:tc>
          <w:tcPr>
            <w:tcW w:w="7371" w:type="dxa"/>
          </w:tcPr>
          <w:p w:rsidR="00B3665C" w:rsidRDefault="00B3665C" w:rsidP="00C23337">
            <w:r>
              <w:rPr>
                <w:b/>
              </w:rPr>
              <w:t>NEXT MEETING</w:t>
            </w:r>
          </w:p>
          <w:p w:rsidR="00B3665C" w:rsidRDefault="00B3665C" w:rsidP="00C23337"/>
          <w:p w:rsidR="00B3665C" w:rsidRDefault="00E40CEC" w:rsidP="00C23337">
            <w:r>
              <w:t>27 April at 1400</w:t>
            </w:r>
            <w:r w:rsidR="00761BBA">
              <w:t>.</w:t>
            </w:r>
          </w:p>
          <w:p w:rsidR="00B3665C" w:rsidRPr="00B3665C" w:rsidRDefault="00B3665C" w:rsidP="00C23337"/>
        </w:tc>
        <w:tc>
          <w:tcPr>
            <w:tcW w:w="1083" w:type="dxa"/>
          </w:tcPr>
          <w:p w:rsidR="00B3665C" w:rsidRDefault="00B3665C" w:rsidP="00223857">
            <w:pPr>
              <w:rPr>
                <w:b/>
              </w:rPr>
            </w:pPr>
          </w:p>
        </w:tc>
      </w:tr>
    </w:tbl>
    <w:p w:rsidR="00006797" w:rsidRDefault="00006797" w:rsidP="00006797">
      <w:pPr>
        <w:rPr>
          <w:b/>
        </w:rPr>
      </w:pPr>
    </w:p>
    <w:p w:rsidR="00783D48" w:rsidRPr="00783D48" w:rsidRDefault="00783D48" w:rsidP="00006797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44" w:rsidRDefault="00032544" w:rsidP="00EA003B">
      <w:pPr>
        <w:spacing w:after="0" w:line="240" w:lineRule="auto"/>
      </w:pPr>
      <w:r>
        <w:separator/>
      </w:r>
    </w:p>
  </w:endnote>
  <w:end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44" w:rsidRDefault="00032544" w:rsidP="00EA003B">
      <w:pPr>
        <w:spacing w:after="0" w:line="240" w:lineRule="auto"/>
      </w:pPr>
      <w:r>
        <w:separator/>
      </w:r>
    </w:p>
  </w:footnote>
  <w:foot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6690"/>
    <w:rsid w:val="00020C33"/>
    <w:rsid w:val="00022195"/>
    <w:rsid w:val="0002528E"/>
    <w:rsid w:val="00026A75"/>
    <w:rsid w:val="00032544"/>
    <w:rsid w:val="000569AA"/>
    <w:rsid w:val="00077D17"/>
    <w:rsid w:val="000A2AA3"/>
    <w:rsid w:val="000A792B"/>
    <w:rsid w:val="000B64AC"/>
    <w:rsid w:val="000D4A55"/>
    <w:rsid w:val="000E67EB"/>
    <w:rsid w:val="000F12D5"/>
    <w:rsid w:val="0012630D"/>
    <w:rsid w:val="0013777E"/>
    <w:rsid w:val="001746A4"/>
    <w:rsid w:val="00174B21"/>
    <w:rsid w:val="00187249"/>
    <w:rsid w:val="001A0240"/>
    <w:rsid w:val="001B749D"/>
    <w:rsid w:val="001E10BE"/>
    <w:rsid w:val="001E22D8"/>
    <w:rsid w:val="001F62D2"/>
    <w:rsid w:val="00223857"/>
    <w:rsid w:val="002452FE"/>
    <w:rsid w:val="00296201"/>
    <w:rsid w:val="002A689B"/>
    <w:rsid w:val="002B2B9C"/>
    <w:rsid w:val="002D2B8B"/>
    <w:rsid w:val="002E1850"/>
    <w:rsid w:val="00342855"/>
    <w:rsid w:val="00350AF2"/>
    <w:rsid w:val="00353F30"/>
    <w:rsid w:val="003749EB"/>
    <w:rsid w:val="003942A4"/>
    <w:rsid w:val="003958F6"/>
    <w:rsid w:val="00396792"/>
    <w:rsid w:val="003B046E"/>
    <w:rsid w:val="003B64BC"/>
    <w:rsid w:val="003D4F24"/>
    <w:rsid w:val="003E2D5C"/>
    <w:rsid w:val="00435F7E"/>
    <w:rsid w:val="00442C1D"/>
    <w:rsid w:val="0046329C"/>
    <w:rsid w:val="004644F6"/>
    <w:rsid w:val="00484FBA"/>
    <w:rsid w:val="00493D04"/>
    <w:rsid w:val="004A4B15"/>
    <w:rsid w:val="004A69EE"/>
    <w:rsid w:val="004A7C7A"/>
    <w:rsid w:val="004D6356"/>
    <w:rsid w:val="004E3010"/>
    <w:rsid w:val="004F2CFA"/>
    <w:rsid w:val="00510905"/>
    <w:rsid w:val="00510CA5"/>
    <w:rsid w:val="00514FBF"/>
    <w:rsid w:val="00554639"/>
    <w:rsid w:val="00562253"/>
    <w:rsid w:val="005671A3"/>
    <w:rsid w:val="00587FAE"/>
    <w:rsid w:val="005A4197"/>
    <w:rsid w:val="005A676A"/>
    <w:rsid w:val="005B1E9D"/>
    <w:rsid w:val="005B3738"/>
    <w:rsid w:val="005C2413"/>
    <w:rsid w:val="005C42EE"/>
    <w:rsid w:val="005D290C"/>
    <w:rsid w:val="005E5091"/>
    <w:rsid w:val="005F1F28"/>
    <w:rsid w:val="006140AD"/>
    <w:rsid w:val="00633D35"/>
    <w:rsid w:val="00640F77"/>
    <w:rsid w:val="00647E4F"/>
    <w:rsid w:val="006C1CC1"/>
    <w:rsid w:val="006C1E78"/>
    <w:rsid w:val="006E6547"/>
    <w:rsid w:val="006F2501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4A16"/>
    <w:rsid w:val="007C0794"/>
    <w:rsid w:val="007C4E8B"/>
    <w:rsid w:val="007C5EFC"/>
    <w:rsid w:val="007D56B2"/>
    <w:rsid w:val="0085329D"/>
    <w:rsid w:val="0089192A"/>
    <w:rsid w:val="0089755F"/>
    <w:rsid w:val="008B2375"/>
    <w:rsid w:val="008B683E"/>
    <w:rsid w:val="008E04C1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10F55"/>
    <w:rsid w:val="00A24D4F"/>
    <w:rsid w:val="00A27423"/>
    <w:rsid w:val="00A30EF2"/>
    <w:rsid w:val="00A3598F"/>
    <w:rsid w:val="00A40F25"/>
    <w:rsid w:val="00A51C70"/>
    <w:rsid w:val="00A611F6"/>
    <w:rsid w:val="00A867E2"/>
    <w:rsid w:val="00A95857"/>
    <w:rsid w:val="00A97C8B"/>
    <w:rsid w:val="00AF210D"/>
    <w:rsid w:val="00AF5323"/>
    <w:rsid w:val="00AF6F5D"/>
    <w:rsid w:val="00B038D6"/>
    <w:rsid w:val="00B22A1F"/>
    <w:rsid w:val="00B3665C"/>
    <w:rsid w:val="00B52E35"/>
    <w:rsid w:val="00B7484B"/>
    <w:rsid w:val="00BA7E46"/>
    <w:rsid w:val="00BC084A"/>
    <w:rsid w:val="00BC0FD6"/>
    <w:rsid w:val="00BC24B1"/>
    <w:rsid w:val="00BD7328"/>
    <w:rsid w:val="00BF60BC"/>
    <w:rsid w:val="00C23337"/>
    <w:rsid w:val="00C35FEF"/>
    <w:rsid w:val="00C4798F"/>
    <w:rsid w:val="00C50077"/>
    <w:rsid w:val="00C55520"/>
    <w:rsid w:val="00C55F37"/>
    <w:rsid w:val="00C93228"/>
    <w:rsid w:val="00CA0BB5"/>
    <w:rsid w:val="00CA1067"/>
    <w:rsid w:val="00CB45AC"/>
    <w:rsid w:val="00CC5DC5"/>
    <w:rsid w:val="00CE6564"/>
    <w:rsid w:val="00D16578"/>
    <w:rsid w:val="00D2357B"/>
    <w:rsid w:val="00D31737"/>
    <w:rsid w:val="00D47C9A"/>
    <w:rsid w:val="00D96CE3"/>
    <w:rsid w:val="00DC419D"/>
    <w:rsid w:val="00DF0B56"/>
    <w:rsid w:val="00E172D8"/>
    <w:rsid w:val="00E31187"/>
    <w:rsid w:val="00E40CEC"/>
    <w:rsid w:val="00E72668"/>
    <w:rsid w:val="00EA003B"/>
    <w:rsid w:val="00EA60BF"/>
    <w:rsid w:val="00EC5C0B"/>
    <w:rsid w:val="00ED2DCD"/>
    <w:rsid w:val="00ED3F98"/>
    <w:rsid w:val="00ED63E9"/>
    <w:rsid w:val="00EE682C"/>
    <w:rsid w:val="00EF6C5F"/>
    <w:rsid w:val="00F03891"/>
    <w:rsid w:val="00F20378"/>
    <w:rsid w:val="00F27341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B155-8595-4325-AB59-CDC0035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2020-03-25T15:52:00Z</dcterms:created>
  <dcterms:modified xsi:type="dcterms:W3CDTF">2020-03-25T15:52:00Z</dcterms:modified>
</cp:coreProperties>
</file>