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C53" w14:textId="70E91AED" w:rsidR="004A203F" w:rsidRDefault="00067870" w:rsidP="00067870">
      <w:pPr>
        <w:jc w:val="center"/>
      </w:pPr>
      <w:r>
        <w:rPr>
          <w:noProof/>
        </w:rPr>
        <w:drawing>
          <wp:inline distT="0" distB="0" distL="0" distR="0" wp14:anchorId="7E436C73" wp14:editId="7BA480AB">
            <wp:extent cx="1981200" cy="901700"/>
            <wp:effectExtent l="0" t="0" r="0" b="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AEB36" w14:textId="5EB9A24B" w:rsidR="00067870" w:rsidRPr="00067870" w:rsidRDefault="003E452A">
      <w:pPr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  <w:t>Guidelines for when</w:t>
      </w:r>
      <w:r w:rsidR="00067870" w:rsidRPr="00067870">
        <w:rPr>
          <w:rFonts w:ascii="Arial" w:hAnsi="Arial" w:cs="Arial"/>
          <w:b/>
          <w:bCs/>
          <w:color w:val="1F4E79" w:themeColor="accent5" w:themeShade="80"/>
          <w:sz w:val="28"/>
          <w:szCs w:val="28"/>
          <w:u w:val="single"/>
        </w:rPr>
        <w:t xml:space="preserve"> an external advert is not required</w:t>
      </w:r>
    </w:p>
    <w:p w14:paraId="12210B3C" w14:textId="5382CC3A" w:rsidR="00373B20" w:rsidRDefault="00067870" w:rsidP="00067870">
      <w:pPr>
        <w:pStyle w:val="BodyText"/>
        <w:spacing w:before="93"/>
        <w:ind w:left="112" w:right="546" w:firstLine="0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To secure the highest quality </w:t>
      </w:r>
      <w:r w:rsidR="00373B20">
        <w:rPr>
          <w:color w:val="1F4E79" w:themeColor="accent5" w:themeShade="80"/>
          <w:sz w:val="24"/>
          <w:szCs w:val="24"/>
        </w:rPr>
        <w:t xml:space="preserve">applicants </w:t>
      </w:r>
      <w:r w:rsidRPr="00067870">
        <w:rPr>
          <w:color w:val="1F4E79" w:themeColor="accent5" w:themeShade="80"/>
          <w:sz w:val="24"/>
          <w:szCs w:val="24"/>
        </w:rPr>
        <w:t xml:space="preserve">and </w:t>
      </w:r>
      <w:r w:rsidRPr="003027C2">
        <w:rPr>
          <w:color w:val="1F4E79" w:themeColor="accent5" w:themeShade="80"/>
          <w:sz w:val="24"/>
          <w:szCs w:val="24"/>
        </w:rPr>
        <w:t>continue our commitment to maintain a culture of diversity and inclusivity</w:t>
      </w:r>
      <w:r w:rsidRPr="003027C2">
        <w:rPr>
          <w:i/>
          <w:iCs/>
          <w:color w:val="1F4E79" w:themeColor="accent5" w:themeShade="80"/>
          <w:sz w:val="24"/>
          <w:szCs w:val="24"/>
        </w:rPr>
        <w:t>,</w:t>
      </w:r>
      <w:r>
        <w:rPr>
          <w:i/>
          <w:iCs/>
          <w:color w:val="1F4E79" w:themeColor="accent5" w:themeShade="80"/>
          <w:sz w:val="24"/>
          <w:szCs w:val="24"/>
        </w:rPr>
        <w:t xml:space="preserve"> </w:t>
      </w:r>
      <w:r>
        <w:rPr>
          <w:color w:val="1F4E79" w:themeColor="accent5" w:themeShade="80"/>
          <w:sz w:val="24"/>
          <w:szCs w:val="24"/>
        </w:rPr>
        <w:t xml:space="preserve">all posts </w:t>
      </w:r>
      <w:r w:rsidRPr="00067870">
        <w:rPr>
          <w:color w:val="1F4E79" w:themeColor="accent5" w:themeShade="80"/>
          <w:sz w:val="24"/>
          <w:szCs w:val="24"/>
        </w:rPr>
        <w:t>will normally be advertised using suitable external media.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</w:p>
    <w:p w14:paraId="6C48F25E" w14:textId="7C90BC93" w:rsidR="00067870" w:rsidRPr="0036341E" w:rsidRDefault="00373B20" w:rsidP="00067870">
      <w:pPr>
        <w:pStyle w:val="BodyText"/>
        <w:spacing w:before="93"/>
        <w:ind w:left="112" w:right="546" w:firstLine="0"/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We recognise</w:t>
      </w:r>
      <w:r w:rsidR="00067870" w:rsidRPr="00067870">
        <w:rPr>
          <w:color w:val="1F4E79" w:themeColor="accent5" w:themeShade="80"/>
          <w:sz w:val="24"/>
          <w:szCs w:val="24"/>
        </w:rPr>
        <w:t xml:space="preserve"> that in certain circumstances external advertising is unsuitable</w:t>
      </w:r>
      <w:r w:rsidR="004E1E5E">
        <w:rPr>
          <w:color w:val="1F4E79" w:themeColor="accent5" w:themeShade="80"/>
          <w:sz w:val="24"/>
          <w:szCs w:val="24"/>
        </w:rPr>
        <w:t>,</w:t>
      </w:r>
      <w:r w:rsidR="00067870">
        <w:rPr>
          <w:color w:val="1F4E79" w:themeColor="accent5" w:themeShade="80"/>
          <w:sz w:val="24"/>
          <w:szCs w:val="24"/>
        </w:rPr>
        <w:t xml:space="preserve"> and </w:t>
      </w:r>
      <w:r>
        <w:rPr>
          <w:color w:val="1F4E79" w:themeColor="accent5" w:themeShade="80"/>
          <w:spacing w:val="-3"/>
          <w:sz w:val="24"/>
          <w:szCs w:val="24"/>
        </w:rPr>
        <w:t xml:space="preserve">so </w:t>
      </w:r>
      <w:r w:rsidR="00067870" w:rsidRPr="00067870">
        <w:rPr>
          <w:color w:val="1F4E79" w:themeColor="accent5" w:themeShade="80"/>
          <w:sz w:val="24"/>
          <w:szCs w:val="24"/>
        </w:rPr>
        <w:t>will not</w:t>
      </w:r>
      <w:r w:rsidR="00067870"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r w:rsidR="00067870" w:rsidRPr="00067870">
        <w:rPr>
          <w:color w:val="1F4E79" w:themeColor="accent5" w:themeShade="80"/>
          <w:sz w:val="24"/>
          <w:szCs w:val="24"/>
        </w:rPr>
        <w:t>be required</w:t>
      </w:r>
      <w:r w:rsidR="00067870"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="00067870" w:rsidRPr="0036341E">
        <w:rPr>
          <w:color w:val="1F4E79" w:themeColor="accent5" w:themeShade="80"/>
          <w:sz w:val="24"/>
          <w:szCs w:val="24"/>
        </w:rPr>
        <w:t>in the</w:t>
      </w:r>
      <w:r w:rsidR="00067870" w:rsidRPr="0036341E">
        <w:rPr>
          <w:color w:val="1F4E79" w:themeColor="accent5" w:themeShade="80"/>
          <w:spacing w:val="-5"/>
          <w:sz w:val="24"/>
          <w:szCs w:val="24"/>
        </w:rPr>
        <w:t xml:space="preserve"> </w:t>
      </w:r>
      <w:r w:rsidR="00067870" w:rsidRPr="0036341E">
        <w:rPr>
          <w:color w:val="1F4E79" w:themeColor="accent5" w:themeShade="80"/>
          <w:sz w:val="24"/>
          <w:szCs w:val="24"/>
        </w:rPr>
        <w:t xml:space="preserve">following </w:t>
      </w:r>
      <w:r w:rsidR="00D701E0">
        <w:rPr>
          <w:color w:val="1F4E79" w:themeColor="accent5" w:themeShade="80"/>
          <w:sz w:val="24"/>
          <w:szCs w:val="24"/>
        </w:rPr>
        <w:t>cases</w:t>
      </w:r>
      <w:r w:rsidR="00067870" w:rsidRPr="0036341E">
        <w:rPr>
          <w:color w:val="1F4E79" w:themeColor="accent5" w:themeShade="80"/>
          <w:sz w:val="24"/>
          <w:szCs w:val="24"/>
        </w:rPr>
        <w:t>:</w:t>
      </w:r>
    </w:p>
    <w:p w14:paraId="4586F629" w14:textId="45D3F6CB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00"/>
        <w:ind w:right="489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The post is used for redeployment purposes (ill health or redundancy or alternative </w:t>
      </w:r>
      <w:r w:rsidR="00813C6D" w:rsidRPr="00067870">
        <w:rPr>
          <w:color w:val="1F4E79" w:themeColor="accent5" w:themeShade="80"/>
          <w:sz w:val="24"/>
          <w:szCs w:val="24"/>
        </w:rPr>
        <w:t>offer</w:t>
      </w:r>
      <w:r w:rsidR="00813C6D">
        <w:rPr>
          <w:color w:val="1F4E79" w:themeColor="accent5" w:themeShade="80"/>
          <w:sz w:val="24"/>
          <w:szCs w:val="24"/>
        </w:rPr>
        <w:t>, when individual has</w:t>
      </w:r>
      <w:r w:rsidRPr="00067870">
        <w:rPr>
          <w:color w:val="1F4E79" w:themeColor="accent5" w:themeShade="80"/>
          <w:sz w:val="24"/>
          <w:szCs w:val="24"/>
        </w:rPr>
        <w:t xml:space="preserve"> over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one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year’s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continuous service)</w:t>
      </w:r>
    </w:p>
    <w:p w14:paraId="659E6007" w14:textId="7728CFF8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00"/>
        <w:ind w:right="292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A permanent post has been externally advertised in the last six months and the position </w:t>
      </w:r>
      <w:r w:rsidR="00813C6D">
        <w:rPr>
          <w:color w:val="1F4E79" w:themeColor="accent5" w:themeShade="80"/>
          <w:sz w:val="24"/>
          <w:szCs w:val="24"/>
        </w:rPr>
        <w:t>is now</w:t>
      </w:r>
      <w:r w:rsidRPr="00067870">
        <w:rPr>
          <w:color w:val="1F4E79" w:themeColor="accent5" w:themeShade="80"/>
          <w:spacing w:val="-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being</w:t>
      </w:r>
      <w:r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offered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to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5"/>
          <w:sz w:val="24"/>
          <w:szCs w:val="24"/>
        </w:rPr>
        <w:t xml:space="preserve"> </w:t>
      </w:r>
      <w:r w:rsidR="004558BC" w:rsidRPr="00067870">
        <w:rPr>
          <w:color w:val="1F4E79" w:themeColor="accent5" w:themeShade="80"/>
          <w:sz w:val="24"/>
          <w:szCs w:val="24"/>
        </w:rPr>
        <w:t>second-choice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candidate</w:t>
      </w:r>
      <w:r w:rsidRPr="00067870">
        <w:rPr>
          <w:color w:val="1F4E79" w:themeColor="accent5" w:themeShade="80"/>
          <w:spacing w:val="-5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for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 post</w:t>
      </w:r>
      <w:r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advertised.</w:t>
      </w:r>
    </w:p>
    <w:p w14:paraId="07D6E448" w14:textId="1BECF42E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00"/>
        <w:ind w:right="327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The post is for temporary casual employment (hourly paid) using </w:t>
      </w:r>
      <w:r w:rsidR="00C045CF" w:rsidRPr="003027C2">
        <w:rPr>
          <w:color w:val="1F4E79" w:themeColor="accent5" w:themeShade="80"/>
          <w:sz w:val="24"/>
          <w:szCs w:val="24"/>
        </w:rPr>
        <w:t>a</w:t>
      </w:r>
      <w:r w:rsidR="00C045CF">
        <w:rPr>
          <w:color w:val="1F4E79" w:themeColor="accent5" w:themeShade="80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recruitment agency </w:t>
      </w:r>
      <w:r w:rsidR="00813C6D">
        <w:rPr>
          <w:color w:val="1F4E79" w:themeColor="accent5" w:themeShade="80"/>
          <w:sz w:val="24"/>
          <w:szCs w:val="24"/>
        </w:rPr>
        <w:t xml:space="preserve">and </w:t>
      </w:r>
      <w:r w:rsidR="006526C9">
        <w:rPr>
          <w:color w:val="1F4E79" w:themeColor="accent5" w:themeShade="80"/>
          <w:sz w:val="24"/>
          <w:szCs w:val="24"/>
        </w:rPr>
        <w:t>is for no longer than 12 weeks</w:t>
      </w:r>
      <w:r w:rsidRPr="00067870">
        <w:rPr>
          <w:color w:val="1F4E79" w:themeColor="accent5" w:themeShade="80"/>
          <w:sz w:val="24"/>
          <w:szCs w:val="24"/>
        </w:rPr>
        <w:t>.</w:t>
      </w:r>
    </w:p>
    <w:p w14:paraId="5A005BAC" w14:textId="2660F8A3" w:rsidR="00067870" w:rsidRPr="003027C2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99"/>
        <w:ind w:right="440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The post is for a PTHP member of staff appointed from the pool.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</w:p>
    <w:p w14:paraId="5AC9B431" w14:textId="109645F4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02"/>
        <w:ind w:right="117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For reasons of business continuity VCO approve an internal appointment (judged on a </w:t>
      </w:r>
      <w:proofErr w:type="gramStart"/>
      <w:r w:rsidR="00C045CF">
        <w:rPr>
          <w:color w:val="1F4E79" w:themeColor="accent5" w:themeShade="80"/>
          <w:sz w:val="24"/>
          <w:szCs w:val="24"/>
        </w:rPr>
        <w:t>case by case</w:t>
      </w:r>
      <w:proofErr w:type="gramEnd"/>
      <w:r w:rsidRPr="00067870">
        <w:rPr>
          <w:color w:val="1F4E79" w:themeColor="accent5" w:themeShade="80"/>
          <w:sz w:val="24"/>
          <w:szCs w:val="24"/>
        </w:rPr>
        <w:t xml:space="preserve"> basis)</w:t>
      </w:r>
    </w:p>
    <w:p w14:paraId="0712AC6C" w14:textId="607245B7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00"/>
        <w:ind w:right="230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The post is </w:t>
      </w:r>
      <w:r w:rsidR="00C045CF">
        <w:rPr>
          <w:color w:val="1F4E79" w:themeColor="accent5" w:themeShade="80"/>
          <w:sz w:val="24"/>
          <w:szCs w:val="24"/>
        </w:rPr>
        <w:t xml:space="preserve">for </w:t>
      </w:r>
      <w:r w:rsidRPr="00067870">
        <w:rPr>
          <w:color w:val="1F4E79" w:themeColor="accent5" w:themeShade="80"/>
          <w:sz w:val="24"/>
          <w:szCs w:val="24"/>
        </w:rPr>
        <w:t>a researcher who is named in an external bid</w:t>
      </w:r>
      <w:r w:rsidR="00C045CF">
        <w:rPr>
          <w:color w:val="1F4E79" w:themeColor="accent5" w:themeShade="80"/>
          <w:sz w:val="24"/>
          <w:szCs w:val="24"/>
        </w:rPr>
        <w:t>,</w:t>
      </w:r>
      <w:r w:rsidRPr="00067870">
        <w:rPr>
          <w:color w:val="1F4E79" w:themeColor="accent5" w:themeShade="80"/>
          <w:sz w:val="24"/>
          <w:szCs w:val="24"/>
        </w:rPr>
        <w:t xml:space="preserve"> and funding is dependent on </w:t>
      </w:r>
      <w:r w:rsidR="00C045CF">
        <w:rPr>
          <w:color w:val="1F4E79" w:themeColor="accent5" w:themeShade="80"/>
          <w:sz w:val="24"/>
          <w:szCs w:val="24"/>
        </w:rPr>
        <w:t>that named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person undertaking work.</w:t>
      </w:r>
    </w:p>
    <w:p w14:paraId="726D5EEF" w14:textId="2E8E5D90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99"/>
        <w:ind w:right="425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The post is a </w:t>
      </w:r>
      <w:proofErr w:type="gramStart"/>
      <w:r w:rsidRPr="00067870">
        <w:rPr>
          <w:color w:val="1F4E79" w:themeColor="accent5" w:themeShade="80"/>
          <w:sz w:val="24"/>
          <w:szCs w:val="24"/>
        </w:rPr>
        <w:t>research</w:t>
      </w:r>
      <w:r w:rsidR="003027C2">
        <w:rPr>
          <w:color w:val="1F4E79" w:themeColor="accent5" w:themeShade="80"/>
          <w:sz w:val="24"/>
          <w:szCs w:val="24"/>
        </w:rPr>
        <w:t>er</w:t>
      </w:r>
      <w:proofErr w:type="gramEnd"/>
      <w:r w:rsidRPr="00067870">
        <w:rPr>
          <w:color w:val="1F4E79" w:themeColor="accent5" w:themeShade="80"/>
          <w:sz w:val="24"/>
          <w:szCs w:val="24"/>
        </w:rPr>
        <w:t xml:space="preserve"> and the contract or series of contracts is for less than two </w:t>
      </w:r>
      <w:r w:rsidR="00C045CF">
        <w:rPr>
          <w:color w:val="1F4E79" w:themeColor="accent5" w:themeShade="80"/>
          <w:sz w:val="24"/>
          <w:szCs w:val="24"/>
        </w:rPr>
        <w:t>years and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principal investigator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confirms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that:</w:t>
      </w:r>
    </w:p>
    <w:p w14:paraId="68DFDD66" w14:textId="77777777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spacing w:before="200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Specific</w:t>
      </w:r>
      <w:r w:rsidRPr="00067870">
        <w:rPr>
          <w:color w:val="1F4E79" w:themeColor="accent5" w:themeShade="80"/>
          <w:spacing w:val="-5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specialist</w:t>
      </w:r>
      <w:r w:rsidRPr="00067870">
        <w:rPr>
          <w:color w:val="1F4E79" w:themeColor="accent5" w:themeShade="80"/>
          <w:spacing w:val="-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knowledge/skills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are</w:t>
      </w:r>
      <w:r w:rsidRPr="00067870">
        <w:rPr>
          <w:color w:val="1F4E79" w:themeColor="accent5" w:themeShade="80"/>
          <w:spacing w:val="-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required</w:t>
      </w:r>
    </w:p>
    <w:p w14:paraId="6F3D8584" w14:textId="39124FC9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spacing w:before="1"/>
        <w:ind w:right="220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A senior manager confirms that they are unlikely to recruit someone of greater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calibre in the external market.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There are no extensions to these contracts after </w:t>
      </w:r>
      <w:r w:rsidR="00C045CF">
        <w:rPr>
          <w:color w:val="1F4E79" w:themeColor="accent5" w:themeShade="80"/>
          <w:sz w:val="24"/>
          <w:szCs w:val="24"/>
        </w:rPr>
        <w:t xml:space="preserve">the </w:t>
      </w:r>
      <w:proofErr w:type="gramStart"/>
      <w:r w:rsidR="00C045CF">
        <w:rPr>
          <w:color w:val="1F4E79" w:themeColor="accent5" w:themeShade="80"/>
          <w:sz w:val="24"/>
          <w:szCs w:val="24"/>
        </w:rPr>
        <w:t>2 year</w:t>
      </w:r>
      <w:proofErr w:type="gramEnd"/>
      <w:r w:rsidRPr="00067870">
        <w:rPr>
          <w:color w:val="1F4E79" w:themeColor="accent5" w:themeShade="80"/>
          <w:sz w:val="24"/>
          <w:szCs w:val="24"/>
        </w:rPr>
        <w:t xml:space="preserve"> period.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Where new funding is sought or where the work extends beyond </w:t>
      </w:r>
      <w:r w:rsidR="00C045CF">
        <w:rPr>
          <w:color w:val="1F4E79" w:themeColor="accent5" w:themeShade="80"/>
          <w:sz w:val="24"/>
          <w:szCs w:val="24"/>
        </w:rPr>
        <w:t xml:space="preserve">the </w:t>
      </w:r>
      <w:proofErr w:type="gramStart"/>
      <w:r w:rsidR="00C045CF">
        <w:rPr>
          <w:color w:val="1F4E79" w:themeColor="accent5" w:themeShade="80"/>
          <w:sz w:val="24"/>
          <w:szCs w:val="24"/>
        </w:rPr>
        <w:t>2 year</w:t>
      </w:r>
      <w:proofErr w:type="gramEnd"/>
      <w:r w:rsidRPr="00067870">
        <w:rPr>
          <w:color w:val="1F4E79" w:themeColor="accent5" w:themeShade="80"/>
          <w:sz w:val="24"/>
          <w:szCs w:val="24"/>
        </w:rPr>
        <w:t xml:space="preserve"> timescale</w:t>
      </w:r>
      <w:r w:rsidR="00C045CF">
        <w:rPr>
          <w:color w:val="1F4E79" w:themeColor="accent5" w:themeShade="80"/>
          <w:sz w:val="24"/>
          <w:szCs w:val="24"/>
        </w:rPr>
        <w:t>,</w:t>
      </w:r>
      <w:r w:rsidRPr="00067870">
        <w:rPr>
          <w:color w:val="1F4E79" w:themeColor="accent5" w:themeShade="80"/>
          <w:sz w:val="24"/>
          <w:szCs w:val="24"/>
        </w:rPr>
        <w:t xml:space="preserve"> the researcher post must be advertised before the end of the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contract.</w:t>
      </w:r>
    </w:p>
    <w:p w14:paraId="263815A3" w14:textId="77777777" w:rsidR="00067870" w:rsidRPr="00067870" w:rsidRDefault="00067870" w:rsidP="00067870">
      <w:pPr>
        <w:pStyle w:val="BodyText"/>
        <w:ind w:left="0" w:firstLine="0"/>
        <w:rPr>
          <w:color w:val="1F4E79" w:themeColor="accent5" w:themeShade="80"/>
          <w:sz w:val="24"/>
          <w:szCs w:val="24"/>
        </w:rPr>
      </w:pPr>
    </w:p>
    <w:p w14:paraId="50A2CB48" w14:textId="2981D8FE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2"/>
        </w:tabs>
        <w:ind w:right="99" w:hanging="360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Where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temporary academic</w:t>
      </w:r>
      <w:r w:rsidRPr="00067870">
        <w:rPr>
          <w:color w:val="1F4E79" w:themeColor="accent5" w:themeShade="80"/>
          <w:spacing w:val="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cover</w:t>
      </w:r>
      <w:r w:rsidRPr="00067870">
        <w:rPr>
          <w:color w:val="1F4E79" w:themeColor="accent5" w:themeShade="80"/>
          <w:spacing w:val="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is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required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and</w:t>
      </w:r>
      <w:r w:rsidRPr="00067870">
        <w:rPr>
          <w:color w:val="1F4E79" w:themeColor="accent5" w:themeShade="80"/>
          <w:spacing w:val="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there</w:t>
      </w:r>
      <w:r w:rsidRPr="00067870">
        <w:rPr>
          <w:color w:val="1F4E79" w:themeColor="accent5" w:themeShade="80"/>
          <w:spacing w:val="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is</w:t>
      </w:r>
      <w:r w:rsidRPr="00067870">
        <w:rPr>
          <w:color w:val="1F4E79" w:themeColor="accent5" w:themeShade="80"/>
          <w:spacing w:val="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insufficient</w:t>
      </w:r>
      <w:r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time</w:t>
      </w:r>
      <w:r w:rsidRPr="00067870">
        <w:rPr>
          <w:color w:val="1F4E79" w:themeColor="accent5" w:themeShade="80"/>
          <w:spacing w:val="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to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recruit</w:t>
      </w:r>
      <w:r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from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the market before the start of the academic year a person may be appointed on a fixed </w:t>
      </w:r>
      <w:r w:rsidR="00373B20">
        <w:rPr>
          <w:color w:val="1F4E79" w:themeColor="accent5" w:themeShade="80"/>
          <w:sz w:val="24"/>
          <w:szCs w:val="24"/>
        </w:rPr>
        <w:t>term contract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without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external</w:t>
      </w:r>
      <w:r w:rsidRPr="00067870">
        <w:rPr>
          <w:color w:val="1F4E79" w:themeColor="accent5" w:themeShade="80"/>
          <w:spacing w:val="-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advert</w:t>
      </w:r>
      <w:r w:rsidR="00A11F51">
        <w:rPr>
          <w:color w:val="1F4E79" w:themeColor="accent5" w:themeShade="80"/>
          <w:sz w:val="24"/>
          <w:szCs w:val="24"/>
        </w:rPr>
        <w:t>,</w:t>
      </w:r>
      <w:r w:rsidRPr="00067870">
        <w:rPr>
          <w:color w:val="1F4E79" w:themeColor="accent5" w:themeShade="80"/>
          <w:spacing w:val="2"/>
          <w:sz w:val="24"/>
          <w:szCs w:val="24"/>
        </w:rPr>
        <w:t xml:space="preserve"> </w:t>
      </w:r>
      <w:proofErr w:type="gramStart"/>
      <w:r w:rsidRPr="00067870">
        <w:rPr>
          <w:color w:val="1F4E79" w:themeColor="accent5" w:themeShade="80"/>
          <w:sz w:val="24"/>
          <w:szCs w:val="24"/>
        </w:rPr>
        <w:t>as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long as</w:t>
      </w:r>
      <w:proofErr w:type="gramEnd"/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following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conditions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apply:</w:t>
      </w:r>
    </w:p>
    <w:p w14:paraId="105D646C" w14:textId="77777777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spacing w:before="201" w:line="252" w:lineRule="exac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temporary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contract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must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be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shorter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than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5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academic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year</w:t>
      </w:r>
    </w:p>
    <w:p w14:paraId="69E23FD9" w14:textId="1C65ADA4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ind w:right="257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There must be a genuine reason why the </w:t>
      </w:r>
      <w:proofErr w:type="gramStart"/>
      <w:r w:rsidRPr="00067870">
        <w:rPr>
          <w:color w:val="1F4E79" w:themeColor="accent5" w:themeShade="80"/>
          <w:sz w:val="24"/>
          <w:szCs w:val="24"/>
        </w:rPr>
        <w:t>School</w:t>
      </w:r>
      <w:proofErr w:type="gramEnd"/>
      <w:r w:rsidRPr="00067870">
        <w:rPr>
          <w:color w:val="1F4E79" w:themeColor="accent5" w:themeShade="80"/>
          <w:sz w:val="24"/>
          <w:szCs w:val="24"/>
        </w:rPr>
        <w:t xml:space="preserve"> was unable to recruit in normal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timescales and that this was outside the control of the school </w:t>
      </w:r>
      <w:r w:rsidR="003027C2" w:rsidRPr="00067870">
        <w:rPr>
          <w:color w:val="1F4E79" w:themeColor="accent5" w:themeShade="80"/>
          <w:sz w:val="24"/>
          <w:szCs w:val="24"/>
        </w:rPr>
        <w:t>e.g.</w:t>
      </w:r>
      <w:r w:rsidRPr="00067870">
        <w:rPr>
          <w:color w:val="1F4E79" w:themeColor="accent5" w:themeShade="80"/>
          <w:sz w:val="24"/>
          <w:szCs w:val="24"/>
        </w:rPr>
        <w:t xml:space="preserve"> late notification </w:t>
      </w:r>
      <w:r w:rsidR="00373B20">
        <w:rPr>
          <w:color w:val="1F4E79" w:themeColor="accent5" w:themeShade="80"/>
          <w:sz w:val="24"/>
          <w:szCs w:val="24"/>
        </w:rPr>
        <w:t>of funding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or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long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term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sickness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confirmed.</w:t>
      </w:r>
    </w:p>
    <w:p w14:paraId="27B86603" w14:textId="77777777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ind w:right="427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The post must be advertised on the University website marked available for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departmental staff on fixed term contracts or members of the departmental </w:t>
      </w:r>
      <w:r w:rsidRPr="00067870">
        <w:rPr>
          <w:color w:val="1F4E79" w:themeColor="accent5" w:themeShade="80"/>
          <w:sz w:val="24"/>
          <w:szCs w:val="24"/>
        </w:rPr>
        <w:lastRenderedPageBreak/>
        <w:t>PTHP</w:t>
      </w:r>
      <w:r w:rsidRPr="00067870">
        <w:rPr>
          <w:color w:val="1F4E79" w:themeColor="accent5" w:themeShade="80"/>
          <w:spacing w:val="-59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pool only for at least one week with applications processed by CV direct to the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proofErr w:type="gramStart"/>
      <w:r w:rsidRPr="00067870">
        <w:rPr>
          <w:color w:val="1F4E79" w:themeColor="accent5" w:themeShade="80"/>
          <w:sz w:val="24"/>
          <w:szCs w:val="24"/>
        </w:rPr>
        <w:t>School</w:t>
      </w:r>
      <w:proofErr w:type="gramEnd"/>
      <w:r w:rsidRPr="00067870">
        <w:rPr>
          <w:color w:val="1F4E79" w:themeColor="accent5" w:themeShade="80"/>
          <w:sz w:val="24"/>
          <w:szCs w:val="24"/>
        </w:rPr>
        <w:t>.</w:t>
      </w:r>
    </w:p>
    <w:p w14:paraId="682E566E" w14:textId="225E4866" w:rsidR="00067870" w:rsidRPr="00067870" w:rsidRDefault="00067870" w:rsidP="00067870">
      <w:pPr>
        <w:pStyle w:val="ListParagraph"/>
        <w:numPr>
          <w:ilvl w:val="1"/>
          <w:numId w:val="1"/>
        </w:numPr>
        <w:tabs>
          <w:tab w:val="left" w:pos="1532"/>
        </w:tabs>
        <w:ind w:right="155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Where the post is covering a permanent vacancy there must be a commitment to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recruit a permanent replacement within three months of the start of the academic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year (demonstrated by monitoring approval for the permanent post at the same </w:t>
      </w:r>
      <w:r w:rsidR="00373B20">
        <w:rPr>
          <w:color w:val="1F4E79" w:themeColor="accent5" w:themeShade="80"/>
          <w:sz w:val="24"/>
          <w:szCs w:val="24"/>
        </w:rPr>
        <w:t>time as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request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to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internally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advertise).</w:t>
      </w:r>
    </w:p>
    <w:p w14:paraId="54B6B5E4" w14:textId="77777777" w:rsidR="00067870" w:rsidRPr="00067870" w:rsidRDefault="00067870" w:rsidP="00067870">
      <w:pPr>
        <w:pStyle w:val="BodyText"/>
        <w:ind w:left="0" w:firstLine="0"/>
        <w:rPr>
          <w:color w:val="1F4E79" w:themeColor="accent5" w:themeShade="80"/>
          <w:sz w:val="24"/>
          <w:szCs w:val="24"/>
        </w:rPr>
      </w:pPr>
    </w:p>
    <w:p w14:paraId="006CD64E" w14:textId="77777777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>The</w:t>
      </w:r>
      <w:r w:rsidRPr="00067870">
        <w:rPr>
          <w:color w:val="1F4E79" w:themeColor="accent5" w:themeShade="80"/>
          <w:spacing w:val="-4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post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is part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of the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Local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Employment Partnership.</w:t>
      </w:r>
    </w:p>
    <w:p w14:paraId="6A662615" w14:textId="7B68B5D3" w:rsidR="00067870" w:rsidRPr="00067870" w:rsidRDefault="00067870" w:rsidP="00067870">
      <w:pPr>
        <w:pStyle w:val="ListParagraph"/>
        <w:numPr>
          <w:ilvl w:val="0"/>
          <w:numId w:val="1"/>
        </w:numPr>
        <w:tabs>
          <w:tab w:val="left" w:pos="822"/>
        </w:tabs>
        <w:spacing w:before="201"/>
        <w:ind w:right="451" w:hanging="360"/>
        <w:jc w:val="left"/>
        <w:rPr>
          <w:color w:val="1F4E79" w:themeColor="accent5" w:themeShade="80"/>
          <w:sz w:val="24"/>
          <w:szCs w:val="24"/>
        </w:rPr>
      </w:pPr>
      <w:r w:rsidRPr="00067870">
        <w:rPr>
          <w:color w:val="1F4E79" w:themeColor="accent5" w:themeShade="80"/>
          <w:sz w:val="24"/>
          <w:szCs w:val="24"/>
        </w:rPr>
        <w:t xml:space="preserve">In cases of Career Entry level positions (Grade 3) where specific subject knowledge </w:t>
      </w:r>
      <w:r w:rsidR="00373B20">
        <w:rPr>
          <w:color w:val="1F4E79" w:themeColor="accent5" w:themeShade="80"/>
          <w:sz w:val="24"/>
          <w:szCs w:val="24"/>
        </w:rPr>
        <w:t>and a graduate</w:t>
      </w:r>
      <w:r w:rsidRPr="00067870">
        <w:rPr>
          <w:color w:val="1F4E79" w:themeColor="accent5" w:themeShade="80"/>
          <w:sz w:val="24"/>
          <w:szCs w:val="24"/>
        </w:rPr>
        <w:t>/postgraduate qualification is essential to future career progression</w:t>
      </w:r>
      <w:r w:rsidR="00373B20">
        <w:rPr>
          <w:color w:val="1F4E79" w:themeColor="accent5" w:themeShade="80"/>
          <w:sz w:val="24"/>
          <w:szCs w:val="24"/>
        </w:rPr>
        <w:t>,</w:t>
      </w:r>
      <w:r w:rsidRPr="00067870">
        <w:rPr>
          <w:color w:val="1F4E79" w:themeColor="accent5" w:themeShade="80"/>
          <w:sz w:val="24"/>
          <w:szCs w:val="24"/>
        </w:rPr>
        <w:t xml:space="preserve"> such posts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 xml:space="preserve">may be subject to restricted advertisement to recent graduates/postgraduates within </w:t>
      </w:r>
      <w:r w:rsidR="00373B20">
        <w:rPr>
          <w:color w:val="1F4E79" w:themeColor="accent5" w:themeShade="80"/>
          <w:sz w:val="24"/>
          <w:szCs w:val="24"/>
        </w:rPr>
        <w:t>the University</w:t>
      </w:r>
      <w:r w:rsidRPr="00067870">
        <w:rPr>
          <w:color w:val="1F4E79" w:themeColor="accent5" w:themeShade="80"/>
          <w:sz w:val="24"/>
          <w:szCs w:val="24"/>
        </w:rPr>
        <w:t>.</w:t>
      </w:r>
      <w:r w:rsidRPr="00067870">
        <w:rPr>
          <w:color w:val="1F4E79" w:themeColor="accent5" w:themeShade="80"/>
          <w:spacing w:val="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In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such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cases the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relevant cohort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should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be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contacted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and</w:t>
      </w:r>
      <w:r w:rsidRPr="00067870">
        <w:rPr>
          <w:color w:val="1F4E79" w:themeColor="accent5" w:themeShade="80"/>
          <w:spacing w:val="-2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invited</w:t>
      </w:r>
      <w:r w:rsidRPr="00067870">
        <w:rPr>
          <w:color w:val="1F4E79" w:themeColor="accent5" w:themeShade="80"/>
          <w:spacing w:val="-3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to</w:t>
      </w:r>
      <w:r w:rsidRPr="00067870">
        <w:rPr>
          <w:color w:val="1F4E79" w:themeColor="accent5" w:themeShade="80"/>
          <w:spacing w:val="-1"/>
          <w:sz w:val="24"/>
          <w:szCs w:val="24"/>
        </w:rPr>
        <w:t xml:space="preserve"> </w:t>
      </w:r>
      <w:r w:rsidRPr="00067870">
        <w:rPr>
          <w:color w:val="1F4E79" w:themeColor="accent5" w:themeShade="80"/>
          <w:sz w:val="24"/>
          <w:szCs w:val="24"/>
        </w:rPr>
        <w:t>apply.</w:t>
      </w:r>
    </w:p>
    <w:p w14:paraId="35377062" w14:textId="04945E33" w:rsidR="00067870" w:rsidRDefault="00067870">
      <w:pPr>
        <w:rPr>
          <w:color w:val="1F4E79" w:themeColor="accent5" w:themeShade="80"/>
          <w:sz w:val="24"/>
          <w:szCs w:val="24"/>
        </w:rPr>
      </w:pPr>
    </w:p>
    <w:p w14:paraId="4AEE89C4" w14:textId="78298C21" w:rsidR="0036341E" w:rsidRPr="003027C2" w:rsidRDefault="0036341E">
      <w:pPr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3027C2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When you submit your monitoring request, please ensure that you make clear in the justification box which of the reasons listed above apply to your vacancy.</w:t>
      </w:r>
    </w:p>
    <w:sectPr w:rsidR="0036341E" w:rsidRPr="00302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049F"/>
    <w:multiLevelType w:val="hybridMultilevel"/>
    <w:tmpl w:val="FBEAE798"/>
    <w:lvl w:ilvl="0" w:tplc="47B68CF8">
      <w:start w:val="1"/>
      <w:numFmt w:val="decimal"/>
      <w:lvlText w:val="%1)"/>
      <w:lvlJc w:val="left"/>
      <w:pPr>
        <w:ind w:left="82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A6EC1D5A">
      <w:start w:val="1"/>
      <w:numFmt w:val="lowerLetter"/>
      <w:lvlText w:val="%2)"/>
      <w:lvlJc w:val="left"/>
      <w:pPr>
        <w:ind w:left="153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 w:tplc="54E2B820">
      <w:numFmt w:val="bullet"/>
      <w:lvlText w:val="•"/>
      <w:lvlJc w:val="left"/>
      <w:pPr>
        <w:ind w:left="1540" w:hanging="284"/>
      </w:pPr>
      <w:rPr>
        <w:rFonts w:hint="default"/>
        <w:lang w:val="en-GB" w:eastAsia="en-US" w:bidi="ar-SA"/>
      </w:rPr>
    </w:lvl>
    <w:lvl w:ilvl="3" w:tplc="413280B4">
      <w:numFmt w:val="bullet"/>
      <w:lvlText w:val="•"/>
      <w:lvlJc w:val="left"/>
      <w:pPr>
        <w:ind w:left="2578" w:hanging="284"/>
      </w:pPr>
      <w:rPr>
        <w:rFonts w:hint="default"/>
        <w:lang w:val="en-GB" w:eastAsia="en-US" w:bidi="ar-SA"/>
      </w:rPr>
    </w:lvl>
    <w:lvl w:ilvl="4" w:tplc="EFD43B34">
      <w:numFmt w:val="bullet"/>
      <w:lvlText w:val="•"/>
      <w:lvlJc w:val="left"/>
      <w:pPr>
        <w:ind w:left="3616" w:hanging="284"/>
      </w:pPr>
      <w:rPr>
        <w:rFonts w:hint="default"/>
        <w:lang w:val="en-GB" w:eastAsia="en-US" w:bidi="ar-SA"/>
      </w:rPr>
    </w:lvl>
    <w:lvl w:ilvl="5" w:tplc="A6A48F70">
      <w:numFmt w:val="bullet"/>
      <w:lvlText w:val="•"/>
      <w:lvlJc w:val="left"/>
      <w:pPr>
        <w:ind w:left="4654" w:hanging="284"/>
      </w:pPr>
      <w:rPr>
        <w:rFonts w:hint="default"/>
        <w:lang w:val="en-GB" w:eastAsia="en-US" w:bidi="ar-SA"/>
      </w:rPr>
    </w:lvl>
    <w:lvl w:ilvl="6" w:tplc="57F00DEE">
      <w:numFmt w:val="bullet"/>
      <w:lvlText w:val="•"/>
      <w:lvlJc w:val="left"/>
      <w:pPr>
        <w:ind w:left="5693" w:hanging="284"/>
      </w:pPr>
      <w:rPr>
        <w:rFonts w:hint="default"/>
        <w:lang w:val="en-GB" w:eastAsia="en-US" w:bidi="ar-SA"/>
      </w:rPr>
    </w:lvl>
    <w:lvl w:ilvl="7" w:tplc="A5A40316">
      <w:numFmt w:val="bullet"/>
      <w:lvlText w:val="•"/>
      <w:lvlJc w:val="left"/>
      <w:pPr>
        <w:ind w:left="6731" w:hanging="284"/>
      </w:pPr>
      <w:rPr>
        <w:rFonts w:hint="default"/>
        <w:lang w:val="en-GB" w:eastAsia="en-US" w:bidi="ar-SA"/>
      </w:rPr>
    </w:lvl>
    <w:lvl w:ilvl="8" w:tplc="D9EE28FE">
      <w:numFmt w:val="bullet"/>
      <w:lvlText w:val="•"/>
      <w:lvlJc w:val="left"/>
      <w:pPr>
        <w:ind w:left="7769" w:hanging="284"/>
      </w:pPr>
      <w:rPr>
        <w:rFonts w:hint="default"/>
        <w:lang w:val="en-GB" w:eastAsia="en-US" w:bidi="ar-SA"/>
      </w:rPr>
    </w:lvl>
  </w:abstractNum>
  <w:num w:numId="1" w16cid:durableId="180867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0"/>
    <w:rsid w:val="00067870"/>
    <w:rsid w:val="003027C2"/>
    <w:rsid w:val="0036341E"/>
    <w:rsid w:val="00373B20"/>
    <w:rsid w:val="003E452A"/>
    <w:rsid w:val="004558BC"/>
    <w:rsid w:val="004A203F"/>
    <w:rsid w:val="004E1E5E"/>
    <w:rsid w:val="006526C9"/>
    <w:rsid w:val="00813C6D"/>
    <w:rsid w:val="00A11F51"/>
    <w:rsid w:val="00BD2C55"/>
    <w:rsid w:val="00C045CF"/>
    <w:rsid w:val="00D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9F12"/>
  <w15:chartTrackingRefBased/>
  <w15:docId w15:val="{C7675CC4-2C1B-486B-A693-B107ADA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67870"/>
    <w:pPr>
      <w:widowControl w:val="0"/>
      <w:autoSpaceDE w:val="0"/>
      <w:autoSpaceDN w:val="0"/>
      <w:spacing w:after="0" w:line="240" w:lineRule="auto"/>
      <w:ind w:left="821" w:hanging="425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787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067870"/>
    <w:pPr>
      <w:widowControl w:val="0"/>
      <w:autoSpaceDE w:val="0"/>
      <w:autoSpaceDN w:val="0"/>
      <w:spacing w:after="0" w:line="240" w:lineRule="auto"/>
      <w:ind w:left="821" w:hanging="425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5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</cp:revision>
  <dcterms:created xsi:type="dcterms:W3CDTF">2022-08-23T15:48:00Z</dcterms:created>
  <dcterms:modified xsi:type="dcterms:W3CDTF">2022-08-23T15:48:00Z</dcterms:modified>
</cp:coreProperties>
</file>