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547F" w14:textId="77777777" w:rsidR="007730EC" w:rsidRDefault="007730EC" w:rsidP="007730EC">
      <w:pPr>
        <w:spacing w:after="0" w:line="259" w:lineRule="auto"/>
        <w:ind w:left="0" w:firstLine="0"/>
        <w:jc w:val="right"/>
      </w:pPr>
      <w:r>
        <w:rPr>
          <w:noProof/>
        </w:rPr>
        <w:drawing>
          <wp:inline distT="0" distB="0" distL="0" distR="0" wp14:anchorId="1459B288" wp14:editId="5022D728">
            <wp:extent cx="1690116" cy="795020"/>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10"/>
                    <a:stretch>
                      <a:fillRect/>
                    </a:stretch>
                  </pic:blipFill>
                  <pic:spPr>
                    <a:xfrm>
                      <a:off x="0" y="0"/>
                      <a:ext cx="1690116" cy="795020"/>
                    </a:xfrm>
                    <a:prstGeom prst="rect">
                      <a:avLst/>
                    </a:prstGeom>
                  </pic:spPr>
                </pic:pic>
              </a:graphicData>
            </a:graphic>
          </wp:inline>
        </w:drawing>
      </w:r>
      <w:r>
        <w:rPr>
          <w:rFonts w:ascii="Times New Roman" w:eastAsia="Times New Roman" w:hAnsi="Times New Roman" w:cs="Times New Roman"/>
          <w:sz w:val="20"/>
        </w:rPr>
        <w:t xml:space="preserve"> </w:t>
      </w:r>
    </w:p>
    <w:p w14:paraId="59C47C0A" w14:textId="77777777" w:rsidR="007730EC" w:rsidRDefault="007730EC" w:rsidP="007730EC">
      <w:pPr>
        <w:spacing w:after="0" w:line="259" w:lineRule="auto"/>
        <w:ind w:left="127"/>
        <w:jc w:val="left"/>
      </w:pPr>
      <w:r>
        <w:rPr>
          <w:b/>
          <w:color w:val="365F91"/>
        </w:rPr>
        <w:t>CONTAMINATION INCIDENT POLICY</w:t>
      </w:r>
      <w:r>
        <w:rPr>
          <w:b/>
        </w:rPr>
        <w:t xml:space="preserve"> </w:t>
      </w:r>
    </w:p>
    <w:p w14:paraId="61D78371" w14:textId="77777777" w:rsidR="007730EC" w:rsidRDefault="007730EC" w:rsidP="007730EC">
      <w:pPr>
        <w:spacing w:after="134" w:line="259" w:lineRule="auto"/>
        <w:ind w:left="0" w:firstLine="0"/>
        <w:jc w:val="left"/>
      </w:pPr>
      <w:r>
        <w:rPr>
          <w:b/>
          <w:sz w:val="26"/>
        </w:rPr>
        <w:t xml:space="preserve"> </w:t>
      </w:r>
    </w:p>
    <w:p w14:paraId="23DA70E7" w14:textId="77777777" w:rsidR="007730EC" w:rsidRDefault="007730EC" w:rsidP="007730EC">
      <w:pPr>
        <w:pStyle w:val="Heading1"/>
        <w:spacing w:after="177"/>
        <w:ind w:left="127" w:firstLine="0"/>
      </w:pPr>
      <w:r>
        <w:t>Purpose and Context</w:t>
      </w:r>
      <w:r>
        <w:rPr>
          <w:color w:val="000000"/>
        </w:rPr>
        <w:t xml:space="preserve"> </w:t>
      </w:r>
    </w:p>
    <w:p w14:paraId="0E2A0225" w14:textId="77777777" w:rsidR="007730EC" w:rsidRDefault="007730EC" w:rsidP="007730EC">
      <w:pPr>
        <w:spacing w:after="168"/>
        <w:ind w:right="48"/>
      </w:pPr>
      <w:r>
        <w:t xml:space="preserve">The objectives of this policy are to </w:t>
      </w:r>
    </w:p>
    <w:p w14:paraId="7CA11011" w14:textId="77777777" w:rsidR="007730EC" w:rsidRDefault="007730EC" w:rsidP="007730EC">
      <w:pPr>
        <w:numPr>
          <w:ilvl w:val="0"/>
          <w:numId w:val="1"/>
        </w:numPr>
        <w:spacing w:after="168"/>
        <w:ind w:right="48" w:hanging="720"/>
      </w:pPr>
      <w:r>
        <w:t xml:space="preserve">Set out the procedures in place for the management of contamination incidents amongst staff and students of the University of Huddersfield. </w:t>
      </w:r>
    </w:p>
    <w:p w14:paraId="49F25915" w14:textId="77777777" w:rsidR="007730EC" w:rsidRDefault="007730EC" w:rsidP="007730EC">
      <w:pPr>
        <w:numPr>
          <w:ilvl w:val="0"/>
          <w:numId w:val="1"/>
        </w:numPr>
        <w:spacing w:after="168"/>
        <w:ind w:right="48" w:hanging="720"/>
      </w:pPr>
      <w:r>
        <w:t xml:space="preserve">To ensure that the exposure to hazardous substances is prevented or adequately controlled as far as reasonably practical. The University of Huddersfield acknowledges its responsibilities under the Health and Safety at Work etc. Act (1974) and the Control of Substances Hazardous to Health (2002) (COSHH). </w:t>
      </w:r>
    </w:p>
    <w:p w14:paraId="71504CAC" w14:textId="77777777" w:rsidR="007730EC" w:rsidRDefault="007730EC" w:rsidP="007730EC">
      <w:pPr>
        <w:numPr>
          <w:ilvl w:val="0"/>
          <w:numId w:val="1"/>
        </w:numPr>
        <w:spacing w:after="171"/>
        <w:ind w:right="48" w:hanging="720"/>
      </w:pPr>
      <w:r>
        <w:t xml:space="preserve">To ensure all staff and students understand their role, responsibilities and actions required to comply with this policy. Students working outside of the University (on placement) must also comply with local policies and procedures in host organisations (NHS or Private) that they are allocated to. </w:t>
      </w:r>
    </w:p>
    <w:p w14:paraId="309A5EB7" w14:textId="77777777" w:rsidR="007730EC" w:rsidRDefault="007730EC" w:rsidP="007730EC">
      <w:pPr>
        <w:pStyle w:val="Heading1"/>
        <w:spacing w:after="180"/>
        <w:ind w:left="127" w:firstLine="0"/>
      </w:pPr>
      <w:r>
        <w:t>Scope</w:t>
      </w:r>
      <w:r>
        <w:rPr>
          <w:color w:val="000000"/>
        </w:rPr>
        <w:t xml:space="preserve"> </w:t>
      </w:r>
    </w:p>
    <w:p w14:paraId="2D30729D" w14:textId="77777777" w:rsidR="007730EC" w:rsidRDefault="007730EC" w:rsidP="007730EC">
      <w:pPr>
        <w:ind w:left="142" w:right="48"/>
      </w:pPr>
      <w:r>
        <w:t xml:space="preserve">To ensure all staff and students understand their role, responsibilities and actions required to comply with this policy.  </w:t>
      </w:r>
    </w:p>
    <w:p w14:paraId="415FBA3C" w14:textId="1B6D92F4" w:rsidR="007730EC" w:rsidRDefault="007730EC" w:rsidP="007730EC">
      <w:pPr>
        <w:spacing w:after="0" w:line="259" w:lineRule="auto"/>
        <w:ind w:left="0" w:firstLine="0"/>
        <w:jc w:val="left"/>
      </w:pPr>
      <w:r>
        <w:rPr>
          <w:sz w:val="20"/>
        </w:rPr>
        <w:t xml:space="preserve"> </w:t>
      </w:r>
      <w:r>
        <w:rPr>
          <w:sz w:val="21"/>
        </w:rPr>
        <w:t xml:space="preserve"> </w:t>
      </w:r>
      <w:r>
        <w:rPr>
          <w:rFonts w:ascii="Calibri" w:eastAsia="Calibri" w:hAnsi="Calibri" w:cs="Calibri"/>
          <w:noProof/>
          <w:sz w:val="22"/>
        </w:rPr>
        <mc:AlternateContent>
          <mc:Choice Requires="wpg">
            <w:drawing>
              <wp:inline distT="0" distB="0" distL="0" distR="0" wp14:anchorId="63A50BDF" wp14:editId="4DC54AE5">
                <wp:extent cx="6158230" cy="12065"/>
                <wp:effectExtent l="0" t="0" r="0" b="0"/>
                <wp:docPr id="14484" name="Group 14484"/>
                <wp:cNvGraphicFramePr/>
                <a:graphic xmlns:a="http://schemas.openxmlformats.org/drawingml/2006/main">
                  <a:graphicData uri="http://schemas.microsoft.com/office/word/2010/wordprocessingGroup">
                    <wpg:wgp>
                      <wpg:cNvGrpSpPr/>
                      <wpg:grpSpPr>
                        <a:xfrm>
                          <a:off x="0" y="0"/>
                          <a:ext cx="6158230" cy="12065"/>
                          <a:chOff x="0" y="0"/>
                          <a:chExt cx="6158230" cy="12065"/>
                        </a:xfrm>
                      </wpg:grpSpPr>
                      <wps:wsp>
                        <wps:cNvPr id="16537" name="Shape 16537"/>
                        <wps:cNvSpPr/>
                        <wps:spPr>
                          <a:xfrm>
                            <a:off x="0" y="0"/>
                            <a:ext cx="6158230" cy="12065"/>
                          </a:xfrm>
                          <a:custGeom>
                            <a:avLst/>
                            <a:gdLst/>
                            <a:ahLst/>
                            <a:cxnLst/>
                            <a:rect l="0" t="0" r="0" b="0"/>
                            <a:pathLst>
                              <a:path w="6158230" h="12065">
                                <a:moveTo>
                                  <a:pt x="0" y="0"/>
                                </a:moveTo>
                                <a:lnTo>
                                  <a:pt x="6158230" y="0"/>
                                </a:lnTo>
                                <a:lnTo>
                                  <a:pt x="6158230" y="12065"/>
                                </a:lnTo>
                                <a:lnTo>
                                  <a:pt x="0" y="12065"/>
                                </a:lnTo>
                                <a:lnTo>
                                  <a:pt x="0" y="0"/>
                                </a:lnTo>
                              </a:path>
                            </a:pathLst>
                          </a:custGeom>
                          <a:ln w="0" cap="flat">
                            <a:miter lim="127000"/>
                          </a:ln>
                        </wps:spPr>
                        <wps:style>
                          <a:lnRef idx="0">
                            <a:srgbClr val="000000">
                              <a:alpha val="0"/>
                            </a:srgbClr>
                          </a:lnRef>
                          <a:fillRef idx="1">
                            <a:srgbClr val="001F5F"/>
                          </a:fillRef>
                          <a:effectRef idx="0">
                            <a:scrgbClr r="0" g="0" b="0"/>
                          </a:effectRef>
                          <a:fontRef idx="none"/>
                        </wps:style>
                        <wps:bodyPr/>
                      </wps:wsp>
                    </wpg:wgp>
                  </a:graphicData>
                </a:graphic>
              </wp:inline>
            </w:drawing>
          </mc:Choice>
          <mc:Fallback>
            <w:pict>
              <v:group w14:anchorId="0DA8FBC5" id="Group 14484" o:spid="_x0000_s1026" style="width:484.9pt;height:.95pt;mso-position-horizontal-relative:char;mso-position-vertical-relative:line" coordsize="615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AH5xgpqAgAANQYAAA4AAAAAAAAAAAAAAAAALgIAAGRy&#10;cy9lMm9Eb2MueG1sUEsBAi0AFAAGAAgAAAAhAFwnqDTaAAAAAwEAAA8AAAAAAAAAAAAAAAAAxAQA&#10;AGRycy9kb3ducmV2LnhtbFBLBQYAAAAABAAEAPMAAADLBQAAAAA=&#10;">
                <v:shape id="Shape 16537" o:spid="_x0000_s1027"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" path="m,l6158230,r,12065l,12065,,e" fillcolor="#001f5f" stroked="f" strokeweight="0">
                  <v:stroke miterlimit="83231f" joinstyle="miter"/>
                  <v:path arrowok="t" textboxrect="0,0,6158230,12065"/>
                </v:shape>
                <w10:anchorlock/>
              </v:group>
            </w:pict>
          </mc:Fallback>
        </mc:AlternateContent>
      </w:r>
    </w:p>
    <w:p w14:paraId="107866A4" w14:textId="77777777" w:rsidR="007730EC" w:rsidRDefault="007730EC" w:rsidP="007730EC">
      <w:pPr>
        <w:spacing w:after="194" w:line="259" w:lineRule="auto"/>
        <w:ind w:left="0" w:firstLine="0"/>
        <w:jc w:val="left"/>
      </w:pPr>
      <w:r>
        <w:rPr>
          <w:sz w:val="12"/>
        </w:rPr>
        <w:t xml:space="preserve"> </w:t>
      </w:r>
    </w:p>
    <w:p w14:paraId="7606690F" w14:textId="77777777" w:rsidR="007730EC" w:rsidRDefault="007730EC" w:rsidP="007730EC">
      <w:pPr>
        <w:pStyle w:val="Heading1"/>
        <w:ind w:left="969" w:hanging="852"/>
      </w:pPr>
      <w:r>
        <w:t>Introduction</w:t>
      </w:r>
      <w:r>
        <w:rPr>
          <w:color w:val="000000"/>
        </w:rPr>
        <w:t xml:space="preserve"> </w:t>
      </w:r>
    </w:p>
    <w:p w14:paraId="6EF9493A" w14:textId="77777777" w:rsidR="007730EC" w:rsidRDefault="007730EC" w:rsidP="007730EC">
      <w:pPr>
        <w:spacing w:after="0" w:line="259" w:lineRule="auto"/>
        <w:ind w:left="0" w:firstLine="0"/>
        <w:jc w:val="left"/>
      </w:pPr>
      <w:r>
        <w:rPr>
          <w:b/>
        </w:rPr>
        <w:t xml:space="preserve"> </w:t>
      </w:r>
    </w:p>
    <w:p w14:paraId="6C7B1BBF" w14:textId="77777777" w:rsidR="007730EC" w:rsidRDefault="007730EC" w:rsidP="007730EC">
      <w:pPr>
        <w:ind w:left="1552" w:right="48" w:hanging="583"/>
      </w:pPr>
      <w:r>
        <w:t xml:space="preserve">1.1 Key legislation and best practice guidelines relating to contamination injuries that specifically identify assessment of contamination incidents are: </w:t>
      </w:r>
    </w:p>
    <w:p w14:paraId="49E45AF5" w14:textId="77777777" w:rsidR="007730EC" w:rsidRDefault="007730EC" w:rsidP="007730EC">
      <w:pPr>
        <w:numPr>
          <w:ilvl w:val="0"/>
          <w:numId w:val="2"/>
        </w:numPr>
        <w:ind w:right="48" w:hanging="588"/>
      </w:pPr>
      <w:r>
        <w:t xml:space="preserve">Control of Substances Hazardous to Health (2002) </w:t>
      </w:r>
    </w:p>
    <w:p w14:paraId="58824A7C" w14:textId="77777777" w:rsidR="007730EC" w:rsidRDefault="007730EC" w:rsidP="007730EC">
      <w:pPr>
        <w:numPr>
          <w:ilvl w:val="0"/>
          <w:numId w:val="2"/>
        </w:numPr>
        <w:ind w:right="48" w:hanging="588"/>
      </w:pPr>
      <w:r>
        <w:t xml:space="preserve">Health and Safety at Work etc. Act (1974) </w:t>
      </w:r>
    </w:p>
    <w:p w14:paraId="19705CF4" w14:textId="77777777" w:rsidR="007730EC" w:rsidRDefault="007730EC" w:rsidP="007730EC">
      <w:pPr>
        <w:numPr>
          <w:ilvl w:val="0"/>
          <w:numId w:val="2"/>
        </w:numPr>
        <w:ind w:right="48" w:hanging="588"/>
      </w:pPr>
      <w:r>
        <w:t xml:space="preserve">PHE Report: Eye of the Needle: United Kingdom surveillance of significant occupational exposures to bloodborne viruses in healthcare workers (2014)  </w:t>
      </w:r>
    </w:p>
    <w:p w14:paraId="06AAB152" w14:textId="17ACFE65" w:rsidR="007730EC" w:rsidRDefault="000C52EC" w:rsidP="007730EC">
      <w:pPr>
        <w:numPr>
          <w:ilvl w:val="0"/>
          <w:numId w:val="2"/>
        </w:numPr>
        <w:ind w:right="48" w:hanging="588"/>
      </w:pPr>
      <w:r>
        <w:t>Uk Health Security Agency</w:t>
      </w:r>
      <w:r w:rsidR="007730EC">
        <w:t xml:space="preserve"> Guidance: The Green Book: Immunisation against infectious disease 20</w:t>
      </w:r>
      <w:r>
        <w:t>25</w:t>
      </w:r>
      <w:r w:rsidR="007730EC">
        <w:t xml:space="preserve">) </w:t>
      </w:r>
      <w:hyperlink r:id="rId11" w:history="1">
        <w:r w:rsidRPr="000C52EC">
          <w:rPr>
            <w:rStyle w:val="Hyperlink"/>
          </w:rPr>
          <w:t>Immunisation against infectious disease - GOV.UK</w:t>
        </w:r>
      </w:hyperlink>
    </w:p>
    <w:p w14:paraId="76A798AD" w14:textId="1D48376C" w:rsidR="007730EC" w:rsidRDefault="007730EC" w:rsidP="007730EC">
      <w:pPr>
        <w:spacing w:after="2" w:line="259" w:lineRule="auto"/>
        <w:ind w:left="0" w:firstLine="0"/>
        <w:jc w:val="left"/>
      </w:pPr>
      <w:r>
        <w:rPr>
          <w:sz w:val="26"/>
        </w:rPr>
        <w:t xml:space="preserve"> </w:t>
      </w:r>
      <w:r>
        <w:rPr>
          <w:sz w:val="28"/>
        </w:rPr>
        <w:t xml:space="preserve"> </w:t>
      </w:r>
    </w:p>
    <w:p w14:paraId="16991F6F" w14:textId="77777777" w:rsidR="007730EC" w:rsidRDefault="007730EC" w:rsidP="007730EC">
      <w:pPr>
        <w:ind w:left="979" w:right="48"/>
      </w:pPr>
      <w:r>
        <w:t xml:space="preserve">1.2 Definitions </w:t>
      </w:r>
    </w:p>
    <w:p w14:paraId="0B579F19" w14:textId="77777777" w:rsidR="007730EC" w:rsidRDefault="007730EC" w:rsidP="007730EC">
      <w:pPr>
        <w:numPr>
          <w:ilvl w:val="0"/>
          <w:numId w:val="3"/>
        </w:numPr>
        <w:ind w:left="1552" w:right="48" w:hanging="583"/>
      </w:pPr>
      <w:r>
        <w:t xml:space="preserve">Blood Borne Virus (BBV): BBV’s are viruses that some people carry in their blood and can be spread to another person. For the purposes of this policy the </w:t>
      </w:r>
      <w:r>
        <w:lastRenderedPageBreak/>
        <w:t xml:space="preserve">3 BBV’s that are of concern are Hepatitis B, Hepatitis C and Human Immunodeficiency Virus (HIV). </w:t>
      </w:r>
    </w:p>
    <w:p w14:paraId="44FE0812" w14:textId="77777777" w:rsidR="007730EC" w:rsidRDefault="007730EC" w:rsidP="007730EC">
      <w:pPr>
        <w:numPr>
          <w:ilvl w:val="0"/>
          <w:numId w:val="3"/>
        </w:numPr>
        <w:spacing w:after="0"/>
        <w:ind w:left="1554" w:right="45" w:hanging="584"/>
      </w:pPr>
      <w:r>
        <w:t xml:space="preserve">Percutaneous Incident: skin penetrating wounds caused by sharps objects such as needles, surgical instruments or glass. </w:t>
      </w:r>
    </w:p>
    <w:p w14:paraId="2044B0A4" w14:textId="1174B2DA" w:rsidR="007730EC" w:rsidRDefault="007730EC" w:rsidP="007730EC">
      <w:pPr>
        <w:numPr>
          <w:ilvl w:val="0"/>
          <w:numId w:val="3"/>
        </w:numPr>
        <w:spacing w:after="0"/>
        <w:ind w:left="1554" w:right="45" w:hanging="584"/>
      </w:pPr>
      <w:r>
        <w:t xml:space="preserve">Mucocutaneous Incident: when blood or other body fluids splash in to the eyes, nose, oral cavity or onto broken skin. </w:t>
      </w:r>
    </w:p>
    <w:p w14:paraId="06393410" w14:textId="77777777" w:rsidR="007730EC" w:rsidRDefault="007730EC" w:rsidP="007730EC">
      <w:pPr>
        <w:numPr>
          <w:ilvl w:val="0"/>
          <w:numId w:val="3"/>
        </w:numPr>
        <w:spacing w:after="0"/>
        <w:ind w:left="1554" w:right="45" w:hanging="584"/>
      </w:pPr>
      <w:r>
        <w:t xml:space="preserve">Contamination Incident: an injury involving needles/clinical instruments, bites, scratches, and splashes of body fluids to the eyes, nose, oral cavity or broken skin. </w:t>
      </w:r>
    </w:p>
    <w:p w14:paraId="5B8EEAEE" w14:textId="77777777" w:rsidR="007730EC" w:rsidRDefault="007730EC" w:rsidP="007730EC">
      <w:pPr>
        <w:spacing w:after="0" w:line="259" w:lineRule="auto"/>
        <w:ind w:left="0" w:firstLine="0"/>
        <w:jc w:val="left"/>
      </w:pPr>
      <w:r>
        <w:rPr>
          <w:sz w:val="27"/>
        </w:rPr>
        <w:t xml:space="preserve"> </w:t>
      </w:r>
    </w:p>
    <w:p w14:paraId="14D7913E" w14:textId="77777777" w:rsidR="007730EC" w:rsidRDefault="007730EC" w:rsidP="007730EC">
      <w:pPr>
        <w:ind w:left="979" w:right="48"/>
      </w:pPr>
      <w:r>
        <w:t xml:space="preserve">1.3 Responsibilities </w:t>
      </w:r>
    </w:p>
    <w:p w14:paraId="2CEBB6C4" w14:textId="77777777" w:rsidR="007730EC" w:rsidRDefault="007730EC" w:rsidP="007730EC">
      <w:pPr>
        <w:ind w:left="979" w:right="48"/>
      </w:pPr>
      <w:r>
        <w:t xml:space="preserve">1.3.1 Deans of schools and directors and heads of support services </w:t>
      </w:r>
    </w:p>
    <w:p w14:paraId="69CF3C5E" w14:textId="77777777" w:rsidR="007730EC" w:rsidRDefault="007730EC" w:rsidP="007730EC">
      <w:pPr>
        <w:numPr>
          <w:ilvl w:val="0"/>
          <w:numId w:val="4"/>
        </w:numPr>
        <w:ind w:left="1552" w:right="48" w:hanging="583"/>
      </w:pPr>
      <w:r>
        <w:t xml:space="preserve">Deans of schools, directors and head of support services have overall responsibility for ensuring local arrangements are in place for First Aid, including up-to-date contact details are displayed on signs in all teaching and communal areas. </w:t>
      </w:r>
    </w:p>
    <w:p w14:paraId="4E4BC0B5" w14:textId="77777777" w:rsidR="007730EC" w:rsidRDefault="007730EC" w:rsidP="007730EC">
      <w:pPr>
        <w:numPr>
          <w:ilvl w:val="0"/>
          <w:numId w:val="4"/>
        </w:numPr>
        <w:ind w:left="1552" w:right="48" w:hanging="583"/>
      </w:pPr>
      <w:r>
        <w:t xml:space="preserve">Contamination incidents that have occurred on University premises should be reported to the University of Huddersfield Occupational Health Department immediately who will take responsibility for appropriate assessment and recommend the type of follow up required. This may involve the individual being advised to attend the nearest accident and emergency department as a matter of urgency. </w:t>
      </w:r>
    </w:p>
    <w:p w14:paraId="4B2CC26F" w14:textId="4898AE22" w:rsidR="007730EC" w:rsidRDefault="007730EC" w:rsidP="007730EC">
      <w:pPr>
        <w:numPr>
          <w:ilvl w:val="0"/>
          <w:numId w:val="4"/>
        </w:numPr>
        <w:ind w:left="1552" w:right="48" w:hanging="583"/>
      </w:pPr>
      <w:r>
        <w:t xml:space="preserve">Any student on placement should report the injury following their placement providers’ local arrangements and attend the Occupational Health service onsite at their placement. The </w:t>
      </w:r>
      <w:r w:rsidR="000C52EC">
        <w:t xml:space="preserve">student or </w:t>
      </w:r>
      <w:r>
        <w:t xml:space="preserve">placement provider Occupational Health service should inform the University of Huddersfield Occupational Health Department of the incident. </w:t>
      </w:r>
    </w:p>
    <w:p w14:paraId="0F2BFEA2" w14:textId="77777777" w:rsidR="007730EC" w:rsidRDefault="007730EC" w:rsidP="007730EC">
      <w:pPr>
        <w:numPr>
          <w:ilvl w:val="0"/>
          <w:numId w:val="4"/>
        </w:numPr>
        <w:spacing w:after="0" w:line="279" w:lineRule="auto"/>
        <w:ind w:left="1552" w:right="48" w:hanging="583"/>
      </w:pPr>
      <w:r>
        <w:t xml:space="preserve">If there is no Occupational Health service available at the placement area the student must contact the Occupational Health Department at the University of Huddersfield and the student or staff member should also attend accident and emergency for assessment and treatment as a matter of urgency. </w:t>
      </w:r>
    </w:p>
    <w:p w14:paraId="25D44C51" w14:textId="77777777" w:rsidR="007730EC" w:rsidRDefault="007730EC" w:rsidP="007730EC">
      <w:pPr>
        <w:numPr>
          <w:ilvl w:val="0"/>
          <w:numId w:val="4"/>
        </w:numPr>
        <w:ind w:left="1552" w:right="48" w:hanging="583"/>
      </w:pPr>
      <w:r>
        <w:t xml:space="preserve">For students out on placement it is their responsibility to contact the Occupational Health Department at the University of Huddersfield to inform them of the contamination incident. </w:t>
      </w:r>
    </w:p>
    <w:p w14:paraId="5C80937E" w14:textId="77777777" w:rsidR="007730EC" w:rsidRDefault="007730EC" w:rsidP="007730EC">
      <w:pPr>
        <w:numPr>
          <w:ilvl w:val="0"/>
          <w:numId w:val="4"/>
        </w:numPr>
        <w:ind w:left="1552" w:right="48" w:hanging="583"/>
      </w:pPr>
      <w:r>
        <w:t>Any student or staff member who sustains a contamination incident, either on university premises or whilst out on placement, should also complete the online health and safety incident reporting system</w:t>
      </w:r>
      <w:hyperlink r:id="rId12">
        <w:r>
          <w:rPr>
            <w:color w:val="0000FF"/>
          </w:rPr>
          <w:t xml:space="preserve"> </w:t>
        </w:r>
      </w:hyperlink>
      <w:r w:rsidRPr="009902F7">
        <w:t xml:space="preserve"> </w:t>
      </w:r>
      <w:hyperlink r:id="rId13" w:history="1">
        <w:r w:rsidRPr="009902F7">
          <w:rPr>
            <w:rStyle w:val="Hyperlink"/>
          </w:rPr>
          <w:t>Incident reporting - University of Huddersfield</w:t>
        </w:r>
      </w:hyperlink>
      <w:r>
        <w:t>.</w:t>
      </w:r>
    </w:p>
    <w:p w14:paraId="4BA74155" w14:textId="77777777" w:rsidR="007730EC" w:rsidRDefault="007730EC" w:rsidP="007730EC">
      <w:pPr>
        <w:spacing w:after="122" w:line="259" w:lineRule="auto"/>
        <w:ind w:left="0" w:firstLine="0"/>
        <w:jc w:val="left"/>
      </w:pPr>
      <w:r>
        <w:rPr>
          <w:sz w:val="19"/>
        </w:rPr>
        <w:t xml:space="preserve"> </w:t>
      </w:r>
    </w:p>
    <w:p w14:paraId="6A823DAE" w14:textId="77777777" w:rsidR="007730EC" w:rsidRDefault="007730EC" w:rsidP="007730EC">
      <w:pPr>
        <w:ind w:left="979" w:right="48"/>
      </w:pPr>
      <w:r>
        <w:t xml:space="preserve">1.3.2 Managers with distinct areas of responsibility are responsible for ensuring: </w:t>
      </w:r>
    </w:p>
    <w:p w14:paraId="21853A51" w14:textId="77777777" w:rsidR="007730EC" w:rsidRDefault="007730EC" w:rsidP="007730EC">
      <w:pPr>
        <w:numPr>
          <w:ilvl w:val="0"/>
          <w:numId w:val="5"/>
        </w:numPr>
        <w:ind w:left="1552" w:right="48" w:hanging="583"/>
      </w:pPr>
      <w:r>
        <w:t xml:space="preserve">An assessment of first aid needs has been carried out in their work areas or student’s placement areas. </w:t>
      </w:r>
    </w:p>
    <w:p w14:paraId="0F1B03CE" w14:textId="77777777" w:rsidR="007730EC" w:rsidRDefault="007730EC" w:rsidP="007730EC">
      <w:pPr>
        <w:numPr>
          <w:ilvl w:val="0"/>
          <w:numId w:val="5"/>
        </w:numPr>
        <w:ind w:left="1552" w:right="48" w:hanging="583"/>
      </w:pPr>
      <w:r>
        <w:t xml:space="preserve">As part of the risk assessment process workplace hazards and exposures should be considered when deciding on what first aid facilities, personnel and equipment should initially be available after a contamination incident occurs. There are sufficient numbers of first aiders in or around their work area  </w:t>
      </w:r>
    </w:p>
    <w:p w14:paraId="1A6DA92A" w14:textId="77777777" w:rsidR="007730EC" w:rsidRDefault="007730EC" w:rsidP="007730EC">
      <w:pPr>
        <w:numPr>
          <w:ilvl w:val="0"/>
          <w:numId w:val="5"/>
        </w:numPr>
        <w:ind w:left="1552" w:right="48" w:hanging="583"/>
      </w:pPr>
      <w:r>
        <w:lastRenderedPageBreak/>
        <w:t xml:space="preserve">Both employees and students are aware of what they should do if they sustain a contamination incident. </w:t>
      </w:r>
    </w:p>
    <w:p w14:paraId="7BFF73FD" w14:textId="0EB47973" w:rsidR="007730EC" w:rsidRDefault="007730EC" w:rsidP="007730EC">
      <w:pPr>
        <w:numPr>
          <w:ilvl w:val="0"/>
          <w:numId w:val="5"/>
        </w:numPr>
        <w:spacing w:after="40"/>
        <w:ind w:left="1552" w:right="48" w:hanging="583"/>
      </w:pPr>
      <w:r>
        <w:t>Ensuring both employees and students know how to initially report any incidents to Occupational Health whilst on placement and to the University of Huddersfield Occupational Health Department. They should also be made aware that they need to complete the Health and Safety incident reporting system</w:t>
      </w:r>
      <w:hyperlink r:id="rId14">
        <w:r>
          <w:rPr>
            <w:color w:val="0000FF"/>
          </w:rPr>
          <w:t>,</w:t>
        </w:r>
      </w:hyperlink>
      <w:r>
        <w:t xml:space="preserve"> </w:t>
      </w:r>
      <w:hyperlink r:id="rId15" w:history="1">
        <w:r w:rsidRPr="009902F7">
          <w:rPr>
            <w:rStyle w:val="Hyperlink"/>
          </w:rPr>
          <w:t>Incident reporting - University of Huddersfield</w:t>
        </w:r>
      </w:hyperlink>
      <w:hyperlink r:id="rId16">
        <w:r>
          <w:rPr>
            <w:color w:val="0000FF"/>
          </w:rPr>
          <w:t xml:space="preserve"> </w:t>
        </w:r>
      </w:hyperlink>
      <w:hyperlink r:id="rId17">
        <w:r>
          <w:t>r</w:t>
        </w:r>
      </w:hyperlink>
      <w:r>
        <w:t xml:space="preserve">egardless of whether the injury was on University premises or whilst out on placement. </w:t>
      </w:r>
    </w:p>
    <w:p w14:paraId="1211B8E8" w14:textId="77777777" w:rsidR="007730EC" w:rsidRDefault="007730EC" w:rsidP="007730EC">
      <w:pPr>
        <w:spacing w:after="0" w:line="259" w:lineRule="auto"/>
        <w:ind w:left="0" w:firstLine="0"/>
        <w:jc w:val="left"/>
      </w:pPr>
      <w:r>
        <w:rPr>
          <w:sz w:val="27"/>
        </w:rPr>
        <w:t xml:space="preserve"> </w:t>
      </w:r>
    </w:p>
    <w:p w14:paraId="4CEF69D5" w14:textId="77777777" w:rsidR="007730EC" w:rsidRDefault="007730EC" w:rsidP="007730EC">
      <w:pPr>
        <w:spacing w:after="34"/>
        <w:ind w:left="979" w:right="48"/>
      </w:pPr>
      <w:r>
        <w:t xml:space="preserve">1.3.3 The University of Huddersfield Occupational Health Department. </w:t>
      </w:r>
    </w:p>
    <w:p w14:paraId="1F125826" w14:textId="50B10DCE" w:rsidR="007730EC" w:rsidRDefault="007730EC" w:rsidP="00072F26">
      <w:pPr>
        <w:spacing w:after="0" w:line="259" w:lineRule="auto"/>
        <w:ind w:left="0" w:firstLine="142"/>
        <w:jc w:val="left"/>
      </w:pPr>
      <w:r>
        <w:rPr>
          <w:sz w:val="31"/>
        </w:rPr>
        <w:t xml:space="preserve"> </w:t>
      </w:r>
      <w:r w:rsidR="00072F26">
        <w:rPr>
          <w:sz w:val="31"/>
        </w:rPr>
        <w:tab/>
        <w:t xml:space="preserve">          </w:t>
      </w:r>
      <w:r>
        <w:t xml:space="preserve">The Occupational Health department is responsible for: </w:t>
      </w:r>
    </w:p>
    <w:p w14:paraId="1DCC60F4" w14:textId="77777777" w:rsidR="007730EC" w:rsidRDefault="007730EC" w:rsidP="007730EC">
      <w:pPr>
        <w:numPr>
          <w:ilvl w:val="0"/>
          <w:numId w:val="6"/>
        </w:numPr>
        <w:spacing w:after="0" w:line="279" w:lineRule="auto"/>
        <w:ind w:left="1552" w:right="24" w:hanging="583"/>
        <w:jc w:val="left"/>
      </w:pPr>
      <w:r>
        <w:t xml:space="preserve">Responding to all contamination incidents reported to them during normal hours (9am-4pm Monday to Friday) and completing the Inoculation/Contamination Incident form at the time of report. </w:t>
      </w:r>
    </w:p>
    <w:p w14:paraId="44B03E7E" w14:textId="77777777" w:rsidR="007730EC" w:rsidRDefault="007730EC" w:rsidP="007730EC">
      <w:pPr>
        <w:numPr>
          <w:ilvl w:val="0"/>
          <w:numId w:val="6"/>
        </w:numPr>
        <w:spacing w:after="40"/>
        <w:ind w:left="1552" w:right="24" w:hanging="583"/>
        <w:jc w:val="left"/>
      </w:pPr>
      <w:r>
        <w:t xml:space="preserve">Completing an initial assessment of the incident if it occurs on the University of Huddersfield premises within normal working hours. </w:t>
      </w:r>
    </w:p>
    <w:p w14:paraId="385A370C" w14:textId="77777777" w:rsidR="007730EC" w:rsidRDefault="007730EC" w:rsidP="007730EC">
      <w:pPr>
        <w:spacing w:after="0" w:line="259" w:lineRule="auto"/>
        <w:ind w:left="0" w:firstLine="0"/>
        <w:jc w:val="left"/>
      </w:pPr>
      <w:r>
        <w:rPr>
          <w:sz w:val="27"/>
        </w:rPr>
        <w:t xml:space="preserve"> </w:t>
      </w:r>
    </w:p>
    <w:p w14:paraId="77FEA7F0" w14:textId="77777777" w:rsidR="007730EC" w:rsidRDefault="007730EC" w:rsidP="007730EC">
      <w:pPr>
        <w:ind w:left="979" w:right="48"/>
      </w:pPr>
      <w:r>
        <w:t xml:space="preserve">1.3.4 Staff and student responsibilities </w:t>
      </w:r>
    </w:p>
    <w:p w14:paraId="7F7DA78E" w14:textId="77777777" w:rsidR="007730EC" w:rsidRDefault="007730EC" w:rsidP="007730EC">
      <w:pPr>
        <w:numPr>
          <w:ilvl w:val="0"/>
          <w:numId w:val="7"/>
        </w:numPr>
        <w:ind w:left="1552" w:right="48" w:hanging="583"/>
      </w:pPr>
      <w:r>
        <w:t xml:space="preserve">If the contamination incident occurs whilst the student is on placement the student must report the incident to the placement area Occupational Health service Immediately. The placement Occupational Health service will initially assess and treat the student in accordance with national guidelines. The placement Occupational Health service should inform the University of Huddersfield Occupational Health Department by completing Appendix A and emailing to; occupational.health@hud.ac.uk </w:t>
      </w:r>
    </w:p>
    <w:p w14:paraId="1291FF14" w14:textId="77777777" w:rsidR="007730EC" w:rsidRDefault="007730EC" w:rsidP="007730EC">
      <w:pPr>
        <w:numPr>
          <w:ilvl w:val="0"/>
          <w:numId w:val="7"/>
        </w:numPr>
        <w:ind w:left="1552" w:right="48" w:hanging="583"/>
      </w:pPr>
      <w:r>
        <w:t xml:space="preserve">The student who sustained the contamination injury must also contact the University of Huddersfield Occupational Health department to inform them of the incident. The student should also report the incident to Health and Safety using the incident reporting system: </w:t>
      </w:r>
      <w:hyperlink r:id="rId18" w:history="1">
        <w:r w:rsidRPr="009902F7">
          <w:rPr>
            <w:rStyle w:val="Hyperlink"/>
          </w:rPr>
          <w:t>Incident reporting - University of Huddersfield</w:t>
        </w:r>
      </w:hyperlink>
      <w:hyperlink r:id="rId19">
        <w:r>
          <w:t xml:space="preserve"> </w:t>
        </w:r>
      </w:hyperlink>
      <w:r>
        <w:t xml:space="preserve"> </w:t>
      </w:r>
    </w:p>
    <w:p w14:paraId="05F36BED" w14:textId="77777777" w:rsidR="007730EC" w:rsidRDefault="007730EC" w:rsidP="007730EC">
      <w:pPr>
        <w:numPr>
          <w:ilvl w:val="0"/>
          <w:numId w:val="7"/>
        </w:numPr>
        <w:ind w:left="1552" w:right="48" w:hanging="583"/>
      </w:pPr>
      <w:r>
        <w:t xml:space="preserve">Any staff member or student who sustains a contamination incident outside of normal Occupational Health (both University or Placement) working hours, either on University premises or on clinical placement, must attend accident and emergency immediately for assessment. It is the staff member or student’s responsibility to report the incident to the placement Occupational Health service and the University of Huddersfield Occupational Health Department once the departments are open again. </w:t>
      </w:r>
    </w:p>
    <w:p w14:paraId="5F515A02" w14:textId="77777777" w:rsidR="00C7686D" w:rsidRDefault="00C7686D" w:rsidP="000F7555">
      <w:pPr>
        <w:ind w:left="1552" w:right="48" w:firstLine="0"/>
      </w:pPr>
    </w:p>
    <w:p w14:paraId="6680056A" w14:textId="77777777" w:rsidR="007730EC" w:rsidRDefault="007730EC" w:rsidP="007730EC">
      <w:pPr>
        <w:tabs>
          <w:tab w:val="center" w:pos="1148"/>
          <w:tab w:val="center" w:pos="2666"/>
        </w:tabs>
        <w:ind w:left="0" w:firstLine="0"/>
        <w:jc w:val="left"/>
      </w:pPr>
      <w:r>
        <w:rPr>
          <w:rFonts w:ascii="Calibri" w:eastAsia="Calibri" w:hAnsi="Calibri" w:cs="Calibri"/>
          <w:sz w:val="22"/>
        </w:rPr>
        <w:tab/>
      </w:r>
      <w:r>
        <w:t>1.4</w:t>
      </w:r>
      <w:r>
        <w:tab/>
        <w:t xml:space="preserve">Blood Borne Viruses </w:t>
      </w:r>
    </w:p>
    <w:p w14:paraId="585C94B0" w14:textId="77777777" w:rsidR="007730EC" w:rsidRDefault="007730EC" w:rsidP="007730EC">
      <w:pPr>
        <w:numPr>
          <w:ilvl w:val="0"/>
          <w:numId w:val="8"/>
        </w:numPr>
        <w:ind w:left="1552" w:right="48" w:hanging="583"/>
      </w:pPr>
      <w:r>
        <w:t xml:space="preserve">For the purpose of this policy blood borne virus refers to 3 viruses, HIV, Hepatitis B and Hepatitis C. </w:t>
      </w:r>
    </w:p>
    <w:p w14:paraId="72C11454" w14:textId="77777777" w:rsidR="007730EC" w:rsidRDefault="007730EC" w:rsidP="007730EC">
      <w:pPr>
        <w:numPr>
          <w:ilvl w:val="0"/>
          <w:numId w:val="8"/>
        </w:numPr>
        <w:spacing w:after="38"/>
        <w:ind w:left="1552" w:right="48" w:hanging="583"/>
      </w:pPr>
      <w:r>
        <w:t xml:space="preserve">Where a risk of exposure to Hepatitis B has been identified in the course of their work staff and students should be routinely offered Hepatitis B Vaccination. There is no current vaccination for HIV or Hepatitis C. </w:t>
      </w:r>
    </w:p>
    <w:p w14:paraId="7435C609" w14:textId="77777777" w:rsidR="007730EC" w:rsidRDefault="007730EC" w:rsidP="007730EC">
      <w:pPr>
        <w:spacing w:after="0" w:line="259" w:lineRule="auto"/>
        <w:ind w:left="0" w:firstLine="0"/>
        <w:jc w:val="left"/>
      </w:pPr>
      <w:r>
        <w:rPr>
          <w:sz w:val="27"/>
        </w:rPr>
        <w:t xml:space="preserve"> </w:t>
      </w:r>
    </w:p>
    <w:p w14:paraId="3FB7C032" w14:textId="77777777" w:rsidR="00072F26" w:rsidRDefault="00072F26" w:rsidP="007730EC">
      <w:pPr>
        <w:ind w:left="979" w:right="48"/>
      </w:pPr>
    </w:p>
    <w:p w14:paraId="4DFB3A49" w14:textId="336B8AC7" w:rsidR="007730EC" w:rsidRDefault="007730EC" w:rsidP="007730EC">
      <w:pPr>
        <w:ind w:left="979" w:right="48"/>
      </w:pPr>
      <w:r>
        <w:lastRenderedPageBreak/>
        <w:t xml:space="preserve">1.5 Immediate Action Post Contamination Incident </w:t>
      </w:r>
    </w:p>
    <w:p w14:paraId="39F7D577" w14:textId="77777777" w:rsidR="007730EC" w:rsidRDefault="007730EC" w:rsidP="007730EC">
      <w:pPr>
        <w:ind w:left="979" w:right="48"/>
      </w:pPr>
      <w:r>
        <w:t xml:space="preserve">1.5.1 Percutaneous Incidents: </w:t>
      </w:r>
    </w:p>
    <w:p w14:paraId="73C512FD" w14:textId="77777777" w:rsidR="007730EC" w:rsidRDefault="007730EC" w:rsidP="007730EC">
      <w:pPr>
        <w:numPr>
          <w:ilvl w:val="0"/>
          <w:numId w:val="9"/>
        </w:numPr>
        <w:ind w:right="1427" w:hanging="588"/>
      </w:pPr>
      <w:r>
        <w:t xml:space="preserve">Encourage the wound to bleed (do not suck the wound) </w:t>
      </w:r>
    </w:p>
    <w:p w14:paraId="22B98A0C" w14:textId="77777777" w:rsidR="000C52EC" w:rsidRDefault="007730EC" w:rsidP="007730EC">
      <w:pPr>
        <w:numPr>
          <w:ilvl w:val="0"/>
          <w:numId w:val="9"/>
        </w:numPr>
        <w:spacing w:after="34"/>
        <w:ind w:right="1427" w:hanging="588"/>
      </w:pPr>
      <w:r>
        <w:t xml:space="preserve">Wash the wound with clean water (do not scrub) </w:t>
      </w:r>
    </w:p>
    <w:p w14:paraId="6FA881F6" w14:textId="77777777" w:rsidR="00072F26" w:rsidRDefault="007730EC" w:rsidP="00072F26">
      <w:pPr>
        <w:numPr>
          <w:ilvl w:val="0"/>
          <w:numId w:val="9"/>
        </w:numPr>
        <w:spacing w:after="34"/>
        <w:ind w:right="1427" w:hanging="588"/>
      </w:pPr>
      <w:r>
        <w:t xml:space="preserve">Cover the wound with waterproof dressing </w:t>
      </w:r>
    </w:p>
    <w:p w14:paraId="250DB3BB" w14:textId="02D63B2B" w:rsidR="007730EC" w:rsidRDefault="007730EC" w:rsidP="00072F26">
      <w:pPr>
        <w:spacing w:after="34"/>
        <w:ind w:left="969" w:right="1427" w:firstLine="0"/>
      </w:pPr>
      <w:r>
        <w:t xml:space="preserve">1.5.2 Mucocutaneous Incidents: </w:t>
      </w:r>
    </w:p>
    <w:p w14:paraId="19B4E4AD" w14:textId="77777777" w:rsidR="007730EC" w:rsidRDefault="007730EC" w:rsidP="007730EC">
      <w:pPr>
        <w:numPr>
          <w:ilvl w:val="0"/>
          <w:numId w:val="10"/>
        </w:numPr>
        <w:ind w:right="48" w:hanging="588"/>
      </w:pPr>
      <w:r>
        <w:t xml:space="preserve">Wash the area thoroughly with clean running water </w:t>
      </w:r>
    </w:p>
    <w:p w14:paraId="4BB58F39" w14:textId="77777777" w:rsidR="007730EC" w:rsidRDefault="007730EC" w:rsidP="007730EC">
      <w:pPr>
        <w:numPr>
          <w:ilvl w:val="0"/>
          <w:numId w:val="10"/>
        </w:numPr>
        <w:spacing w:after="36"/>
        <w:ind w:right="48" w:hanging="588"/>
      </w:pPr>
      <w:r>
        <w:t xml:space="preserve">If the contaminant has entered the eyes access a decontamination irrigation kit and wash out the contaminant. If possible, seek the assistance of a colleague and follow the instructions on the kit. NEVER place your head/eyes under a tap of running water. This has the potential to damage the eyes. </w:t>
      </w:r>
    </w:p>
    <w:p w14:paraId="0F445766" w14:textId="77777777" w:rsidR="007730EC" w:rsidRDefault="007730EC" w:rsidP="007730EC">
      <w:pPr>
        <w:spacing w:after="0" w:line="259" w:lineRule="auto"/>
        <w:ind w:left="0" w:firstLine="0"/>
        <w:jc w:val="left"/>
      </w:pPr>
      <w:r>
        <w:rPr>
          <w:sz w:val="27"/>
        </w:rPr>
        <w:t xml:space="preserve"> </w:t>
      </w:r>
    </w:p>
    <w:p w14:paraId="01E5DC3D" w14:textId="77777777" w:rsidR="00072F26" w:rsidRDefault="007730EC" w:rsidP="00072F26">
      <w:pPr>
        <w:spacing w:after="36"/>
        <w:ind w:left="979" w:right="48"/>
      </w:pPr>
      <w:r>
        <w:t xml:space="preserve">1.6 Post Exposure Management </w:t>
      </w:r>
    </w:p>
    <w:p w14:paraId="38B3B0EE" w14:textId="7056AF36" w:rsidR="007730EC" w:rsidRDefault="00072F26" w:rsidP="00072F26">
      <w:pPr>
        <w:spacing w:after="36"/>
        <w:ind w:left="979" w:right="48"/>
      </w:pPr>
      <w:r>
        <w:t xml:space="preserve">1.6.1 </w:t>
      </w:r>
      <w:r w:rsidR="00472842">
        <w:t>Blood Borne Virus</w:t>
      </w:r>
      <w:r w:rsidR="007730EC">
        <w:t xml:space="preserve"> risk and exposure: </w:t>
      </w:r>
    </w:p>
    <w:p w14:paraId="30AEA795" w14:textId="77777777" w:rsidR="00472842" w:rsidRPr="00472842" w:rsidRDefault="00472842" w:rsidP="00472842">
      <w:pPr>
        <w:spacing w:after="41"/>
        <w:ind w:left="1552" w:right="48" w:firstLine="0"/>
      </w:pPr>
      <w:r w:rsidRPr="00472842">
        <w:t>The risk of a BBV being transmitted depends on:</w:t>
      </w:r>
    </w:p>
    <w:p w14:paraId="375FCBC8" w14:textId="77777777" w:rsidR="00472842" w:rsidRPr="00472842" w:rsidRDefault="00472842" w:rsidP="00472842">
      <w:pPr>
        <w:numPr>
          <w:ilvl w:val="0"/>
          <w:numId w:val="13"/>
        </w:numPr>
        <w:tabs>
          <w:tab w:val="num" w:pos="720"/>
        </w:tabs>
        <w:spacing w:after="41"/>
        <w:ind w:left="1552" w:right="48" w:hanging="583"/>
      </w:pPr>
      <w:r w:rsidRPr="00472842">
        <w:t>the viral load in the infected source patient</w:t>
      </w:r>
    </w:p>
    <w:p w14:paraId="71198A86" w14:textId="77777777" w:rsidR="00472842" w:rsidRPr="00472842" w:rsidRDefault="00472842" w:rsidP="00472842">
      <w:pPr>
        <w:numPr>
          <w:ilvl w:val="0"/>
          <w:numId w:val="13"/>
        </w:numPr>
        <w:tabs>
          <w:tab w:val="num" w:pos="720"/>
        </w:tabs>
        <w:spacing w:after="41"/>
        <w:ind w:left="1552" w:right="48" w:hanging="583"/>
      </w:pPr>
      <w:r w:rsidRPr="00472842">
        <w:t>the depth of the injury</w:t>
      </w:r>
    </w:p>
    <w:p w14:paraId="7BE432D5" w14:textId="77777777" w:rsidR="00472842" w:rsidRPr="00472842" w:rsidRDefault="00472842" w:rsidP="00472842">
      <w:pPr>
        <w:numPr>
          <w:ilvl w:val="0"/>
          <w:numId w:val="13"/>
        </w:numPr>
        <w:tabs>
          <w:tab w:val="num" w:pos="720"/>
        </w:tabs>
        <w:spacing w:after="41"/>
        <w:ind w:left="1552" w:right="48" w:hanging="583"/>
      </w:pPr>
      <w:r w:rsidRPr="00472842">
        <w:t>whether the procedure involved placing a needle in a patient’s vein or artery</w:t>
      </w:r>
    </w:p>
    <w:p w14:paraId="64D05878" w14:textId="77777777" w:rsidR="00472842" w:rsidRDefault="00472842" w:rsidP="00472842">
      <w:pPr>
        <w:spacing w:after="41"/>
        <w:ind w:left="969" w:right="48" w:firstLine="0"/>
        <w:rPr>
          <w:b/>
          <w:bCs/>
        </w:rPr>
      </w:pPr>
    </w:p>
    <w:p w14:paraId="094623A0" w14:textId="77777777" w:rsidR="00072F26" w:rsidRDefault="00472842" w:rsidP="00072F26">
      <w:pPr>
        <w:spacing w:after="41"/>
        <w:ind w:left="969" w:right="48" w:firstLine="0"/>
      </w:pPr>
      <w:r w:rsidRPr="00472842">
        <w:t>1.6.2 Significant exposures</w:t>
      </w:r>
    </w:p>
    <w:p w14:paraId="6A2CA676" w14:textId="77777777" w:rsidR="00072F26" w:rsidRDefault="00072F26" w:rsidP="00072F26">
      <w:pPr>
        <w:spacing w:after="41"/>
        <w:ind w:left="969" w:right="48" w:firstLine="0"/>
      </w:pPr>
      <w:r>
        <w:t xml:space="preserve">(a)     </w:t>
      </w:r>
      <w:r w:rsidR="00472842" w:rsidRPr="00472842">
        <w:t xml:space="preserve">A significant exposure is a percutaneous or mucocutaneous exposure to blood </w:t>
      </w:r>
    </w:p>
    <w:p w14:paraId="324F082C" w14:textId="27899CBE" w:rsidR="00472842" w:rsidRPr="00472842" w:rsidRDefault="00072F26" w:rsidP="00072F26">
      <w:pPr>
        <w:spacing w:after="41"/>
        <w:ind w:left="969" w:right="48" w:firstLine="0"/>
      </w:pPr>
      <w:r>
        <w:t xml:space="preserve">         </w:t>
      </w:r>
      <w:r w:rsidR="00472842" w:rsidRPr="00472842">
        <w:t>or other body fluids from a source patient who is infected with:</w:t>
      </w:r>
    </w:p>
    <w:p w14:paraId="1CF93CE7" w14:textId="20D81C0B" w:rsidR="00472842" w:rsidRPr="00472842" w:rsidRDefault="00472842" w:rsidP="00072F26">
      <w:pPr>
        <w:pStyle w:val="ListParagraph"/>
        <w:spacing w:after="41"/>
        <w:ind w:left="1912" w:right="48" w:firstLine="0"/>
      </w:pPr>
      <w:r w:rsidRPr="00472842">
        <w:t>HIV</w:t>
      </w:r>
    </w:p>
    <w:p w14:paraId="20A2373F" w14:textId="4104189B" w:rsidR="00472842" w:rsidRDefault="00472842" w:rsidP="00072F26">
      <w:pPr>
        <w:pStyle w:val="ListParagraph"/>
        <w:spacing w:after="41"/>
        <w:ind w:left="1912" w:right="48" w:firstLine="0"/>
      </w:pPr>
      <w:r w:rsidRPr="00472842">
        <w:t>hepatitis B surface antigen positive (HBsAg positive)</w:t>
      </w:r>
    </w:p>
    <w:p w14:paraId="74B27D36" w14:textId="60361286" w:rsidR="00472842" w:rsidRDefault="00472842" w:rsidP="00072F26">
      <w:pPr>
        <w:pStyle w:val="ListParagraph"/>
        <w:spacing w:after="41"/>
        <w:ind w:left="1912" w:right="48" w:firstLine="0"/>
      </w:pPr>
      <w:r>
        <w:t>hepatitis C</w:t>
      </w:r>
    </w:p>
    <w:p w14:paraId="0A2E30C0" w14:textId="4B42607F" w:rsidR="00472842" w:rsidRPr="00472842" w:rsidRDefault="00472842" w:rsidP="00667C6C">
      <w:pPr>
        <w:spacing w:after="41"/>
        <w:ind w:right="48"/>
      </w:pPr>
    </w:p>
    <w:p w14:paraId="3627C5C3" w14:textId="30A2C8AD" w:rsidR="007730EC" w:rsidRDefault="000F7555" w:rsidP="007730EC">
      <w:pPr>
        <w:numPr>
          <w:ilvl w:val="0"/>
          <w:numId w:val="13"/>
        </w:numPr>
        <w:spacing w:after="41"/>
        <w:ind w:left="1552" w:right="48" w:hanging="583"/>
      </w:pPr>
      <w:r>
        <w:t>Depending on the out</w:t>
      </w:r>
      <w:r w:rsidR="00A1117D">
        <w:t xml:space="preserve">come of the initial assessment by occupational health and the </w:t>
      </w:r>
      <w:r w:rsidR="00253E4B">
        <w:t xml:space="preserve">risk level identified, </w:t>
      </w:r>
      <w:r w:rsidR="007730EC">
        <w:t xml:space="preserve">the recipient </w:t>
      </w:r>
      <w:r w:rsidR="00253E4B">
        <w:t>may need to</w:t>
      </w:r>
      <w:r w:rsidR="007730EC">
        <w:t xml:space="preserve"> be seen at 6,12 and 24 weeks for post incident follow up blood testing in accordance with national guidelines. For students on placement this is offered by Occupational Health at the University of Huddersfield. For those staff and students who sustain the  injury on University premises the University of Huddersfield Occupational Health department will follow this up accordingly once notified of the incident. </w:t>
      </w:r>
    </w:p>
    <w:p w14:paraId="2EDAA45B" w14:textId="77777777" w:rsidR="007730EC" w:rsidRDefault="007730EC" w:rsidP="007730EC">
      <w:pPr>
        <w:spacing w:after="0" w:line="259" w:lineRule="auto"/>
        <w:ind w:left="0" w:firstLine="0"/>
        <w:jc w:val="left"/>
      </w:pPr>
      <w:r>
        <w:rPr>
          <w:sz w:val="27"/>
        </w:rPr>
        <w:t xml:space="preserve"> </w:t>
      </w:r>
    </w:p>
    <w:p w14:paraId="14DFFAB9" w14:textId="77777777" w:rsidR="007730EC" w:rsidRDefault="007730EC" w:rsidP="007730EC">
      <w:pPr>
        <w:ind w:left="979" w:right="48"/>
      </w:pPr>
      <w:r>
        <w:t xml:space="preserve">1.6.4 Donor source blood results and follow up bloods </w:t>
      </w:r>
    </w:p>
    <w:p w14:paraId="5600E4C3" w14:textId="5283D4F7" w:rsidR="00667C6C" w:rsidRDefault="007730EC" w:rsidP="007730EC">
      <w:pPr>
        <w:ind w:left="1552" w:right="48" w:hanging="583"/>
      </w:pPr>
      <w:r>
        <w:t xml:space="preserve">(a)   For those students out on placement who have a contamination injury, where possible bloods should be taken from the patient / donor source for BBV screening. If the donor source does have their bloods taken the placement area Occupational Health Department should notify the University of Huddersfield Occupational Health department once they have the donor source blood results. </w:t>
      </w:r>
      <w:r w:rsidR="00253E4B">
        <w:t xml:space="preserve">These results will determine the </w:t>
      </w:r>
      <w:r w:rsidR="005F6B19">
        <w:t>follow up required.</w:t>
      </w:r>
      <w:r>
        <w:t xml:space="preserve"> </w:t>
      </w:r>
    </w:p>
    <w:p w14:paraId="6FA23F81" w14:textId="75519653" w:rsidR="007730EC" w:rsidRDefault="007730EC" w:rsidP="007730EC">
      <w:pPr>
        <w:ind w:left="1552" w:right="48" w:hanging="583"/>
      </w:pPr>
      <w:r>
        <w:t xml:space="preserve"> </w:t>
      </w:r>
    </w:p>
    <w:p w14:paraId="31168426" w14:textId="1CBCE55C" w:rsidR="007730EC" w:rsidRDefault="007730EC" w:rsidP="00A60E8B">
      <w:pPr>
        <w:spacing w:after="0" w:line="259" w:lineRule="auto"/>
        <w:ind w:left="0" w:firstLine="0"/>
        <w:jc w:val="left"/>
      </w:pPr>
    </w:p>
    <w:p w14:paraId="1DC8CD2E" w14:textId="77777777" w:rsidR="00072F26" w:rsidRDefault="00072F26" w:rsidP="00A60E8B">
      <w:pPr>
        <w:spacing w:after="0" w:line="259" w:lineRule="auto"/>
        <w:ind w:left="0" w:firstLine="0"/>
        <w:jc w:val="left"/>
      </w:pPr>
    </w:p>
    <w:p w14:paraId="73B21755" w14:textId="77777777" w:rsidR="00072F26" w:rsidRDefault="00072F26" w:rsidP="00A60E8B">
      <w:pPr>
        <w:spacing w:after="0" w:line="259" w:lineRule="auto"/>
        <w:ind w:left="0" w:firstLine="0"/>
        <w:jc w:val="left"/>
      </w:pPr>
    </w:p>
    <w:p w14:paraId="47D87F1E" w14:textId="77777777" w:rsidR="007730EC" w:rsidRPr="00072F26" w:rsidRDefault="007730EC" w:rsidP="007730EC">
      <w:pPr>
        <w:ind w:left="979" w:right="48"/>
      </w:pPr>
      <w:r w:rsidRPr="00072F26">
        <w:lastRenderedPageBreak/>
        <w:t xml:space="preserve">References </w:t>
      </w:r>
    </w:p>
    <w:p w14:paraId="7E8955F6" w14:textId="77777777" w:rsidR="00072F26" w:rsidRPr="00072F26" w:rsidRDefault="00072F26" w:rsidP="007730EC">
      <w:pPr>
        <w:ind w:left="979" w:right="48"/>
      </w:pPr>
    </w:p>
    <w:p w14:paraId="3736AE28" w14:textId="77777777" w:rsidR="00072F26" w:rsidRPr="00072F26" w:rsidRDefault="007730EC" w:rsidP="00D628D1">
      <w:pPr>
        <w:numPr>
          <w:ilvl w:val="0"/>
          <w:numId w:val="14"/>
        </w:numPr>
        <w:shd w:val="clear" w:color="auto" w:fill="FFFFFF"/>
        <w:spacing w:after="300"/>
        <w:ind w:right="48" w:hanging="360"/>
        <w:rPr>
          <w:rFonts w:ascii="Times New Roman" w:hAnsi="Times New Roman" w:cs="Times New Roman"/>
          <w:color w:val="auto"/>
        </w:rPr>
      </w:pPr>
      <w:r w:rsidRPr="00072F26">
        <w:t xml:space="preserve">Health &amp; Safety executive, Health &amp; safety at work act etc. HSE 1974 </w:t>
      </w:r>
    </w:p>
    <w:p w14:paraId="2C04D102" w14:textId="4B87E3B0" w:rsidR="00072F26" w:rsidRPr="00072F26" w:rsidRDefault="007730EC" w:rsidP="00D628D1">
      <w:pPr>
        <w:numPr>
          <w:ilvl w:val="0"/>
          <w:numId w:val="14"/>
        </w:numPr>
        <w:shd w:val="clear" w:color="auto" w:fill="FFFFFF"/>
        <w:spacing w:after="300"/>
        <w:ind w:right="48" w:hanging="360"/>
        <w:rPr>
          <w:rFonts w:ascii="Times New Roman" w:hAnsi="Times New Roman" w:cs="Times New Roman"/>
          <w:color w:val="auto"/>
        </w:rPr>
      </w:pPr>
      <w:r w:rsidRPr="00072F26">
        <w:t xml:space="preserve">Health &amp; Safety executive, The management of Health &amp; Safety at work regulations HSE 1999 </w:t>
      </w:r>
    </w:p>
    <w:p w14:paraId="73535CA5" w14:textId="17DD9E0B" w:rsidR="00072F26" w:rsidRPr="00072F26" w:rsidRDefault="007730EC" w:rsidP="00164E7B">
      <w:pPr>
        <w:numPr>
          <w:ilvl w:val="0"/>
          <w:numId w:val="14"/>
        </w:numPr>
        <w:shd w:val="clear" w:color="auto" w:fill="FFFFFF"/>
        <w:spacing w:after="300"/>
        <w:ind w:right="48" w:hanging="360"/>
        <w:rPr>
          <w:rFonts w:ascii="Times New Roman" w:hAnsi="Times New Roman" w:cs="Times New Roman"/>
          <w:color w:val="auto"/>
        </w:rPr>
      </w:pPr>
      <w:r w:rsidRPr="00072F26">
        <w:t xml:space="preserve">Health &amp; Safety executive, Control of Substances Hazardous to Health regulations HSE 2002 </w:t>
      </w:r>
    </w:p>
    <w:p w14:paraId="39A68AB3" w14:textId="3B2E1E76" w:rsidR="00072F26" w:rsidRPr="00072F26" w:rsidRDefault="007730EC" w:rsidP="00F8730B">
      <w:pPr>
        <w:numPr>
          <w:ilvl w:val="0"/>
          <w:numId w:val="14"/>
        </w:numPr>
        <w:shd w:val="clear" w:color="auto" w:fill="FFFFFF"/>
        <w:spacing w:after="300"/>
        <w:ind w:right="48" w:hanging="360"/>
        <w:rPr>
          <w:rFonts w:ascii="Times New Roman" w:hAnsi="Times New Roman" w:cs="Times New Roman"/>
          <w:color w:val="auto"/>
        </w:rPr>
      </w:pPr>
      <w:r w:rsidRPr="00072F26">
        <w:t>Health &amp; Safety executive, Reporting of Injuries, Diseases and Dangerous occurrences regulations, HSC 1995</w:t>
      </w:r>
    </w:p>
    <w:p w14:paraId="5F66D286" w14:textId="31022086" w:rsidR="00072F26" w:rsidRPr="00072F26" w:rsidRDefault="00667C6C" w:rsidP="00D9556A">
      <w:pPr>
        <w:numPr>
          <w:ilvl w:val="0"/>
          <w:numId w:val="14"/>
        </w:numPr>
        <w:shd w:val="clear" w:color="auto" w:fill="FFFFFF"/>
        <w:spacing w:after="300"/>
        <w:ind w:right="48" w:hanging="360"/>
        <w:rPr>
          <w:rFonts w:ascii="Times New Roman" w:hAnsi="Times New Roman" w:cs="Times New Roman"/>
          <w:color w:val="auto"/>
        </w:rPr>
      </w:pPr>
      <w:hyperlink r:id="rId20" w:history="1">
        <w:r w:rsidRPr="00072F26">
          <w:rPr>
            <w:rStyle w:val="Hyperlink"/>
            <w:rFonts w:eastAsiaTheme="majorEastAsia"/>
            <w:color w:val="1D70B8"/>
          </w:rPr>
          <w:t>HIV: surveillance, data and management</w:t>
        </w:r>
      </w:hyperlink>
    </w:p>
    <w:p w14:paraId="6BD11C77" w14:textId="04983CF2" w:rsidR="00072F26" w:rsidRPr="00072F26" w:rsidRDefault="00667C6C" w:rsidP="0041548B">
      <w:pPr>
        <w:numPr>
          <w:ilvl w:val="0"/>
          <w:numId w:val="14"/>
        </w:numPr>
        <w:shd w:val="clear" w:color="auto" w:fill="FFFFFF"/>
        <w:spacing w:after="300"/>
        <w:ind w:right="48" w:hanging="360"/>
        <w:rPr>
          <w:rFonts w:ascii="Times New Roman" w:hAnsi="Times New Roman" w:cs="Times New Roman"/>
          <w:color w:val="auto"/>
        </w:rPr>
      </w:pPr>
      <w:hyperlink r:id="rId21" w:history="1">
        <w:r w:rsidRPr="00072F26">
          <w:rPr>
            <w:rStyle w:val="Hyperlink"/>
            <w:rFonts w:eastAsiaTheme="majorEastAsia"/>
            <w:color w:val="1D70B8"/>
          </w:rPr>
          <w:t>UK guideline for the use of HIV post-exposure prophylaxis 2021</w:t>
        </w:r>
      </w:hyperlink>
      <w:r w:rsidRPr="00072F26">
        <w:rPr>
          <w:color w:val="0B0C0C"/>
        </w:rPr>
        <w:t>, British HIV Association (BHIVA)</w:t>
      </w:r>
    </w:p>
    <w:p w14:paraId="2E3CE414" w14:textId="29242CA2" w:rsidR="00072F26" w:rsidRDefault="00667C6C" w:rsidP="00EC2B4D">
      <w:pPr>
        <w:pStyle w:val="NormalWeb"/>
        <w:numPr>
          <w:ilvl w:val="0"/>
          <w:numId w:val="14"/>
        </w:numPr>
        <w:shd w:val="clear" w:color="auto" w:fill="FFFFFF"/>
        <w:spacing w:before="0" w:beforeAutospacing="0" w:after="300" w:afterAutospacing="0"/>
        <w:ind w:right="48" w:hanging="360"/>
      </w:pPr>
      <w:r w:rsidRPr="00072F26">
        <w:rPr>
          <w:rFonts w:ascii="Arial" w:hAnsi="Arial" w:cs="Arial"/>
          <w:color w:val="0B0C0C"/>
        </w:rPr>
        <w:t xml:space="preserve">Hepatitis B </w:t>
      </w:r>
      <w:hyperlink r:id="rId22" w:history="1">
        <w:r w:rsidRPr="00072F26">
          <w:rPr>
            <w:rStyle w:val="Hyperlink"/>
            <w:rFonts w:ascii="Arial" w:eastAsiaTheme="majorEastAsia" w:hAnsi="Arial" w:cs="Arial"/>
            <w:color w:val="1D70B8"/>
          </w:rPr>
          <w:t>Hepatitis B: guidance data and analysis</w:t>
        </w:r>
      </w:hyperlink>
    </w:p>
    <w:p w14:paraId="67B85C3A" w14:textId="182DC074" w:rsidR="00072F26" w:rsidRPr="00072F26" w:rsidRDefault="00667C6C" w:rsidP="007D36C3">
      <w:pPr>
        <w:pStyle w:val="NormalWeb"/>
        <w:numPr>
          <w:ilvl w:val="0"/>
          <w:numId w:val="14"/>
        </w:numPr>
        <w:shd w:val="clear" w:color="auto" w:fill="FFFFFF"/>
        <w:spacing w:before="0" w:beforeAutospacing="0" w:after="300" w:afterAutospacing="0"/>
        <w:ind w:right="48" w:hanging="360"/>
      </w:pPr>
      <w:r w:rsidRPr="00072F26">
        <w:rPr>
          <w:rFonts w:ascii="Arial" w:hAnsi="Arial" w:cs="Arial"/>
          <w:color w:val="0B0C0C"/>
        </w:rPr>
        <w:t> </w:t>
      </w:r>
      <w:hyperlink r:id="rId23" w:history="1">
        <w:r w:rsidRPr="00072F26">
          <w:rPr>
            <w:rStyle w:val="Hyperlink"/>
            <w:rFonts w:ascii="Arial" w:eastAsiaTheme="majorEastAsia" w:hAnsi="Arial" w:cs="Arial"/>
            <w:color w:val="1D70B8"/>
          </w:rPr>
          <w:t>Immunisation against infectious diseases: the green book</w:t>
        </w:r>
      </w:hyperlink>
      <w:r w:rsidRPr="00072F26">
        <w:rPr>
          <w:rFonts w:ascii="Arial" w:hAnsi="Arial" w:cs="Arial"/>
          <w:color w:val="0B0C0C"/>
        </w:rPr>
        <w:t> on vaccination against hepatitis B and immunisation of healthcare and laboratory staff.</w:t>
      </w:r>
    </w:p>
    <w:p w14:paraId="1C03C468" w14:textId="1BECD51C" w:rsidR="00072F26" w:rsidRPr="00072F26" w:rsidRDefault="00667C6C" w:rsidP="009045E9">
      <w:pPr>
        <w:pStyle w:val="NormalWeb"/>
        <w:numPr>
          <w:ilvl w:val="0"/>
          <w:numId w:val="14"/>
        </w:numPr>
        <w:shd w:val="clear" w:color="auto" w:fill="FFFFFF"/>
        <w:spacing w:before="0" w:beforeAutospacing="0" w:after="300" w:afterAutospacing="0"/>
        <w:ind w:right="48" w:hanging="360"/>
      </w:pPr>
      <w:r w:rsidRPr="00072F26">
        <w:rPr>
          <w:rFonts w:ascii="Arial" w:hAnsi="Arial" w:cs="Arial"/>
          <w:color w:val="0B0C0C"/>
        </w:rPr>
        <w:t xml:space="preserve">Hepatitis C </w:t>
      </w:r>
      <w:hyperlink r:id="rId24" w:history="1">
        <w:r w:rsidRPr="00072F26">
          <w:rPr>
            <w:rStyle w:val="Hyperlink"/>
            <w:rFonts w:ascii="Arial" w:hAnsi="Arial" w:cs="Arial"/>
            <w:color w:val="1D70B8"/>
          </w:rPr>
          <w:t>Guidance on the investigation and management of occupational exposure to hepatitis C</w:t>
        </w:r>
      </w:hyperlink>
      <w:r w:rsidRPr="00072F26">
        <w:rPr>
          <w:rFonts w:ascii="Arial" w:hAnsi="Arial" w:cs="Arial"/>
          <w:color w:val="0B0C0C"/>
        </w:rPr>
        <w:t>, Communicable Disease and Public Health (CDPH) 1999</w:t>
      </w:r>
    </w:p>
    <w:p w14:paraId="03F668A0" w14:textId="511133F9" w:rsidR="00072F26" w:rsidRPr="00072F26" w:rsidRDefault="00667C6C" w:rsidP="00F068C2">
      <w:pPr>
        <w:pStyle w:val="Heading2"/>
        <w:numPr>
          <w:ilvl w:val="0"/>
          <w:numId w:val="14"/>
        </w:numPr>
        <w:shd w:val="clear" w:color="auto" w:fill="FFFFFF"/>
        <w:spacing w:before="0" w:after="300"/>
        <w:ind w:right="48" w:hanging="360"/>
        <w:rPr>
          <w:rFonts w:ascii="Times New Roman" w:hAnsi="Times New Roman" w:cs="Times New Roman"/>
          <w:color w:val="auto"/>
          <w:sz w:val="24"/>
          <w:szCs w:val="24"/>
        </w:rPr>
      </w:pPr>
      <w:r w:rsidRPr="00072F26">
        <w:rPr>
          <w:rFonts w:ascii="Arial" w:hAnsi="Arial" w:cs="Arial"/>
          <w:color w:val="0B0C0C"/>
          <w:sz w:val="24"/>
          <w:szCs w:val="24"/>
        </w:rPr>
        <w:t>Management of bloodborne viruses in healthcare workers</w:t>
      </w:r>
    </w:p>
    <w:p w14:paraId="7FA42747" w14:textId="7B36E4DA" w:rsidR="00072F26" w:rsidRPr="00072F26" w:rsidRDefault="00667C6C" w:rsidP="00A0116A">
      <w:pPr>
        <w:pStyle w:val="Heading2"/>
        <w:numPr>
          <w:ilvl w:val="0"/>
          <w:numId w:val="14"/>
        </w:numPr>
        <w:shd w:val="clear" w:color="auto" w:fill="FFFFFF"/>
        <w:spacing w:before="0" w:after="300"/>
        <w:ind w:right="48" w:hanging="360"/>
        <w:rPr>
          <w:rFonts w:ascii="Times New Roman" w:hAnsi="Times New Roman" w:cs="Times New Roman"/>
          <w:color w:val="auto"/>
          <w:sz w:val="24"/>
          <w:szCs w:val="24"/>
        </w:rPr>
      </w:pPr>
      <w:hyperlink r:id="rId25" w:history="1">
        <w:r w:rsidRPr="00072F26">
          <w:rPr>
            <w:rStyle w:val="Hyperlink"/>
            <w:rFonts w:ascii="Arial" w:hAnsi="Arial" w:cs="Arial"/>
            <w:color w:val="1D70B8"/>
            <w:sz w:val="24"/>
            <w:szCs w:val="24"/>
          </w:rPr>
          <w:t>UK Advisory Panel</w:t>
        </w:r>
      </w:hyperlink>
      <w:r w:rsidRPr="00072F26">
        <w:rPr>
          <w:rFonts w:ascii="Arial" w:hAnsi="Arial" w:cs="Arial"/>
          <w:color w:val="0B0C0C"/>
          <w:sz w:val="24"/>
          <w:szCs w:val="24"/>
        </w:rPr>
        <w:t> for healthcare workers living with bloodborne viruses gives advice about the transmission and management of BBVs in healthcare workers and keeps a confidential register of infected workers.</w:t>
      </w:r>
    </w:p>
    <w:p w14:paraId="67FF647F" w14:textId="44580427" w:rsidR="007730EC" w:rsidRDefault="007730EC" w:rsidP="00122294">
      <w:pPr>
        <w:pStyle w:val="NormalWeb"/>
        <w:numPr>
          <w:ilvl w:val="0"/>
          <w:numId w:val="14"/>
        </w:numPr>
        <w:shd w:val="clear" w:color="auto" w:fill="FFFFFF"/>
        <w:spacing w:before="0" w:beforeAutospacing="0" w:after="300" w:afterAutospacing="0"/>
        <w:ind w:right="48" w:hanging="360"/>
      </w:pPr>
      <w:r w:rsidRPr="00072F26">
        <w:t xml:space="preserve">The Green Book: Immunisation against infectious disease. Public Health England  2014   </w:t>
      </w:r>
      <w:r>
        <w:br w:type="page"/>
      </w:r>
    </w:p>
    <w:tbl>
      <w:tblPr>
        <w:tblStyle w:val="TableGrid"/>
        <w:tblW w:w="9778" w:type="dxa"/>
        <w:tblInd w:w="5" w:type="dxa"/>
        <w:tblCellMar>
          <w:top w:w="5" w:type="dxa"/>
          <w:left w:w="2" w:type="dxa"/>
          <w:right w:w="115" w:type="dxa"/>
        </w:tblCellMar>
        <w:tblLook w:val="04A0" w:firstRow="1" w:lastRow="0" w:firstColumn="1" w:lastColumn="0" w:noHBand="0" w:noVBand="1"/>
      </w:tblPr>
      <w:tblGrid>
        <w:gridCol w:w="3901"/>
        <w:gridCol w:w="5877"/>
      </w:tblGrid>
      <w:tr w:rsidR="007730EC" w14:paraId="06CAACD8" w14:textId="77777777" w:rsidTr="009376B2">
        <w:trPr>
          <w:trHeight w:val="516"/>
        </w:trPr>
        <w:tc>
          <w:tcPr>
            <w:tcW w:w="9778" w:type="dxa"/>
            <w:gridSpan w:val="2"/>
            <w:tcBorders>
              <w:top w:val="single" w:sz="4" w:space="0" w:color="000000"/>
              <w:left w:val="single" w:sz="4" w:space="0" w:color="000000"/>
              <w:bottom w:val="single" w:sz="4" w:space="0" w:color="000000"/>
              <w:right w:val="single" w:sz="4" w:space="0" w:color="000000"/>
            </w:tcBorders>
          </w:tcPr>
          <w:p w14:paraId="4BBF591E" w14:textId="77777777" w:rsidR="007730EC" w:rsidRDefault="007730EC" w:rsidP="009376B2">
            <w:pPr>
              <w:spacing w:after="0" w:line="259" w:lineRule="auto"/>
              <w:ind w:left="113" w:firstLine="0"/>
              <w:jc w:val="left"/>
            </w:pPr>
            <w:r>
              <w:rPr>
                <w:b/>
                <w:color w:val="365F91"/>
              </w:rPr>
              <w:lastRenderedPageBreak/>
              <w:t>POLICY SIGN-OFF AND OWNERSHIP DETAILS</w:t>
            </w:r>
            <w:r>
              <w:rPr>
                <w:b/>
              </w:rPr>
              <w:t xml:space="preserve"> </w:t>
            </w:r>
          </w:p>
        </w:tc>
      </w:tr>
      <w:tr w:rsidR="007730EC" w14:paraId="371185DC" w14:textId="77777777" w:rsidTr="009376B2">
        <w:trPr>
          <w:trHeight w:val="487"/>
        </w:trPr>
        <w:tc>
          <w:tcPr>
            <w:tcW w:w="3901" w:type="dxa"/>
            <w:tcBorders>
              <w:top w:val="single" w:sz="4" w:space="0" w:color="000000"/>
              <w:left w:val="single" w:sz="4" w:space="0" w:color="000000"/>
              <w:bottom w:val="single" w:sz="4" w:space="0" w:color="000000"/>
              <w:right w:val="single" w:sz="4" w:space="0" w:color="000000"/>
            </w:tcBorders>
          </w:tcPr>
          <w:p w14:paraId="28557EE3" w14:textId="77777777" w:rsidR="007730EC" w:rsidRDefault="007730EC" w:rsidP="009376B2">
            <w:pPr>
              <w:spacing w:after="0" w:line="259" w:lineRule="auto"/>
              <w:ind w:left="113" w:firstLine="0"/>
              <w:jc w:val="left"/>
            </w:pPr>
            <w:r>
              <w:rPr>
                <w:b/>
                <w:sz w:val="20"/>
              </w:rPr>
              <w:t xml:space="preserve">Document name: </w:t>
            </w:r>
          </w:p>
        </w:tc>
        <w:tc>
          <w:tcPr>
            <w:tcW w:w="5877" w:type="dxa"/>
            <w:tcBorders>
              <w:top w:val="single" w:sz="4" w:space="0" w:color="000000"/>
              <w:left w:val="single" w:sz="4" w:space="0" w:color="000000"/>
              <w:bottom w:val="single" w:sz="4" w:space="0" w:color="000000"/>
              <w:right w:val="single" w:sz="4" w:space="0" w:color="000000"/>
            </w:tcBorders>
          </w:tcPr>
          <w:p w14:paraId="72F18894" w14:textId="77777777" w:rsidR="007730EC" w:rsidRDefault="007730EC" w:rsidP="009376B2">
            <w:pPr>
              <w:spacing w:after="0" w:line="259" w:lineRule="auto"/>
              <w:ind w:left="108" w:firstLine="0"/>
              <w:jc w:val="left"/>
            </w:pPr>
            <w:r>
              <w:rPr>
                <w:sz w:val="20"/>
              </w:rPr>
              <w:t xml:space="preserve">Contamination Incident Policy </w:t>
            </w:r>
          </w:p>
        </w:tc>
      </w:tr>
      <w:tr w:rsidR="007730EC" w14:paraId="1CFF8DDA" w14:textId="77777777" w:rsidTr="009376B2">
        <w:trPr>
          <w:trHeight w:val="422"/>
        </w:trPr>
        <w:tc>
          <w:tcPr>
            <w:tcW w:w="3901" w:type="dxa"/>
            <w:tcBorders>
              <w:top w:val="single" w:sz="4" w:space="0" w:color="000000"/>
              <w:left w:val="single" w:sz="4" w:space="0" w:color="000000"/>
              <w:bottom w:val="single" w:sz="4" w:space="0" w:color="000000"/>
              <w:right w:val="single" w:sz="4" w:space="0" w:color="000000"/>
            </w:tcBorders>
          </w:tcPr>
          <w:p w14:paraId="36491892" w14:textId="77777777" w:rsidR="007730EC" w:rsidRDefault="007730EC" w:rsidP="009376B2">
            <w:pPr>
              <w:spacing w:after="0" w:line="259" w:lineRule="auto"/>
              <w:ind w:left="113" w:firstLine="0"/>
              <w:jc w:val="left"/>
            </w:pPr>
            <w:r>
              <w:rPr>
                <w:b/>
                <w:sz w:val="20"/>
              </w:rPr>
              <w:t xml:space="preserve">Version Number: </w:t>
            </w:r>
          </w:p>
        </w:tc>
        <w:tc>
          <w:tcPr>
            <w:tcW w:w="5877" w:type="dxa"/>
            <w:tcBorders>
              <w:top w:val="single" w:sz="4" w:space="0" w:color="000000"/>
              <w:left w:val="single" w:sz="4" w:space="0" w:color="000000"/>
              <w:bottom w:val="single" w:sz="4" w:space="0" w:color="000000"/>
              <w:right w:val="single" w:sz="4" w:space="0" w:color="000000"/>
            </w:tcBorders>
          </w:tcPr>
          <w:p w14:paraId="2D40761A" w14:textId="5494B13E" w:rsidR="007730EC" w:rsidRDefault="007730EC" w:rsidP="009376B2">
            <w:pPr>
              <w:spacing w:after="0" w:line="259" w:lineRule="auto"/>
              <w:ind w:left="108" w:firstLine="0"/>
              <w:jc w:val="left"/>
            </w:pPr>
            <w:r>
              <w:rPr>
                <w:sz w:val="20"/>
              </w:rPr>
              <w:t>V2.</w:t>
            </w:r>
            <w:r w:rsidR="00804435">
              <w:rPr>
                <w:sz w:val="20"/>
              </w:rPr>
              <w:t>2</w:t>
            </w:r>
          </w:p>
        </w:tc>
      </w:tr>
      <w:tr w:rsidR="007730EC" w14:paraId="01CECC43" w14:textId="77777777" w:rsidTr="009376B2">
        <w:trPr>
          <w:trHeight w:val="413"/>
        </w:trPr>
        <w:tc>
          <w:tcPr>
            <w:tcW w:w="3901" w:type="dxa"/>
            <w:tcBorders>
              <w:top w:val="single" w:sz="4" w:space="0" w:color="000000"/>
              <w:left w:val="single" w:sz="4" w:space="0" w:color="000000"/>
              <w:bottom w:val="single" w:sz="4" w:space="0" w:color="000000"/>
              <w:right w:val="single" w:sz="4" w:space="0" w:color="000000"/>
            </w:tcBorders>
          </w:tcPr>
          <w:p w14:paraId="12F1A5D6" w14:textId="77777777" w:rsidR="007730EC" w:rsidRDefault="007730EC" w:rsidP="009376B2">
            <w:pPr>
              <w:spacing w:after="0" w:line="259" w:lineRule="auto"/>
              <w:ind w:left="113" w:firstLine="0"/>
              <w:jc w:val="left"/>
            </w:pPr>
            <w:r>
              <w:rPr>
                <w:b/>
                <w:sz w:val="20"/>
              </w:rPr>
              <w:t xml:space="preserve">Equality Impact Assessment: </w:t>
            </w:r>
          </w:p>
        </w:tc>
        <w:tc>
          <w:tcPr>
            <w:tcW w:w="5877" w:type="dxa"/>
            <w:tcBorders>
              <w:top w:val="single" w:sz="4" w:space="0" w:color="000000"/>
              <w:left w:val="single" w:sz="4" w:space="0" w:color="000000"/>
              <w:bottom w:val="single" w:sz="4" w:space="0" w:color="000000"/>
              <w:right w:val="single" w:sz="4" w:space="0" w:color="000000"/>
            </w:tcBorders>
          </w:tcPr>
          <w:p w14:paraId="5B73BAB6" w14:textId="6B8F65E8" w:rsidR="007730EC" w:rsidRDefault="007730EC" w:rsidP="009376B2">
            <w:pPr>
              <w:spacing w:after="0" w:line="259" w:lineRule="auto"/>
              <w:ind w:left="108" w:firstLine="0"/>
              <w:jc w:val="left"/>
            </w:pPr>
          </w:p>
        </w:tc>
      </w:tr>
      <w:tr w:rsidR="007730EC" w14:paraId="08CF2BA3" w14:textId="77777777" w:rsidTr="009376B2">
        <w:trPr>
          <w:trHeight w:val="432"/>
        </w:trPr>
        <w:tc>
          <w:tcPr>
            <w:tcW w:w="3901" w:type="dxa"/>
            <w:tcBorders>
              <w:top w:val="single" w:sz="4" w:space="0" w:color="000000"/>
              <w:left w:val="single" w:sz="4" w:space="0" w:color="000000"/>
              <w:bottom w:val="single" w:sz="4" w:space="0" w:color="000000"/>
              <w:right w:val="single" w:sz="4" w:space="0" w:color="000000"/>
            </w:tcBorders>
          </w:tcPr>
          <w:p w14:paraId="757EC848" w14:textId="77777777" w:rsidR="007730EC" w:rsidRDefault="007730EC" w:rsidP="009376B2">
            <w:pPr>
              <w:spacing w:after="0" w:line="259" w:lineRule="auto"/>
              <w:ind w:left="113" w:firstLine="0"/>
              <w:jc w:val="left"/>
            </w:pPr>
            <w:r>
              <w:rPr>
                <w:b/>
                <w:sz w:val="20"/>
              </w:rPr>
              <w:t xml:space="preserve">Approved by: </w:t>
            </w:r>
          </w:p>
        </w:tc>
        <w:tc>
          <w:tcPr>
            <w:tcW w:w="5877" w:type="dxa"/>
            <w:tcBorders>
              <w:top w:val="single" w:sz="4" w:space="0" w:color="000000"/>
              <w:left w:val="single" w:sz="4" w:space="0" w:color="000000"/>
              <w:bottom w:val="single" w:sz="4" w:space="0" w:color="000000"/>
              <w:right w:val="single" w:sz="4" w:space="0" w:color="000000"/>
            </w:tcBorders>
          </w:tcPr>
          <w:p w14:paraId="1BD656DD" w14:textId="77777777" w:rsidR="007730EC" w:rsidRDefault="007730EC" w:rsidP="009376B2">
            <w:pPr>
              <w:spacing w:after="0" w:line="259" w:lineRule="auto"/>
              <w:ind w:left="108" w:firstLine="0"/>
              <w:jc w:val="left"/>
            </w:pPr>
            <w:r>
              <w:rPr>
                <w:sz w:val="20"/>
              </w:rPr>
              <w:t xml:space="preserve">Senior Leadership Team  </w:t>
            </w:r>
          </w:p>
        </w:tc>
      </w:tr>
      <w:tr w:rsidR="007730EC" w14:paraId="33266DD7" w14:textId="77777777" w:rsidTr="009376B2">
        <w:trPr>
          <w:trHeight w:val="425"/>
        </w:trPr>
        <w:tc>
          <w:tcPr>
            <w:tcW w:w="3901" w:type="dxa"/>
            <w:tcBorders>
              <w:top w:val="single" w:sz="4" w:space="0" w:color="000000"/>
              <w:left w:val="single" w:sz="4" w:space="0" w:color="000000"/>
              <w:bottom w:val="single" w:sz="4" w:space="0" w:color="000000"/>
              <w:right w:val="single" w:sz="4" w:space="0" w:color="000000"/>
            </w:tcBorders>
          </w:tcPr>
          <w:p w14:paraId="0EC9CD68" w14:textId="77777777" w:rsidR="007730EC" w:rsidRDefault="007730EC" w:rsidP="009376B2">
            <w:pPr>
              <w:spacing w:after="0" w:line="259" w:lineRule="auto"/>
              <w:ind w:left="113" w:firstLine="0"/>
              <w:jc w:val="left"/>
            </w:pPr>
            <w:r>
              <w:rPr>
                <w:b/>
                <w:sz w:val="20"/>
              </w:rPr>
              <w:t xml:space="preserve">Date Approved: </w:t>
            </w:r>
          </w:p>
        </w:tc>
        <w:tc>
          <w:tcPr>
            <w:tcW w:w="5877" w:type="dxa"/>
            <w:tcBorders>
              <w:top w:val="single" w:sz="4" w:space="0" w:color="000000"/>
              <w:left w:val="single" w:sz="4" w:space="0" w:color="000000"/>
              <w:bottom w:val="single" w:sz="4" w:space="0" w:color="000000"/>
              <w:right w:val="single" w:sz="4" w:space="0" w:color="000000"/>
            </w:tcBorders>
          </w:tcPr>
          <w:p w14:paraId="6ED9C34E" w14:textId="78F74383" w:rsidR="007730EC" w:rsidRDefault="007730EC" w:rsidP="009376B2">
            <w:pPr>
              <w:spacing w:after="0" w:line="259" w:lineRule="auto"/>
              <w:ind w:left="0" w:firstLine="0"/>
              <w:jc w:val="left"/>
            </w:pPr>
            <w:r>
              <w:rPr>
                <w:sz w:val="20"/>
              </w:rPr>
              <w:t xml:space="preserve">  July 202</w:t>
            </w:r>
            <w:r w:rsidR="00804435">
              <w:rPr>
                <w:sz w:val="20"/>
              </w:rPr>
              <w:t>5</w:t>
            </w:r>
            <w:r>
              <w:rPr>
                <w:sz w:val="20"/>
              </w:rPr>
              <w:t xml:space="preserve"> </w:t>
            </w:r>
          </w:p>
        </w:tc>
      </w:tr>
      <w:tr w:rsidR="007730EC" w14:paraId="33503BBF" w14:textId="77777777" w:rsidTr="009376B2">
        <w:trPr>
          <w:trHeight w:val="432"/>
        </w:trPr>
        <w:tc>
          <w:tcPr>
            <w:tcW w:w="3901" w:type="dxa"/>
            <w:tcBorders>
              <w:top w:val="single" w:sz="4" w:space="0" w:color="000000"/>
              <w:left w:val="single" w:sz="4" w:space="0" w:color="000000"/>
              <w:bottom w:val="single" w:sz="4" w:space="0" w:color="000000"/>
              <w:right w:val="single" w:sz="4" w:space="0" w:color="000000"/>
            </w:tcBorders>
          </w:tcPr>
          <w:p w14:paraId="64509729" w14:textId="77777777" w:rsidR="007730EC" w:rsidRDefault="007730EC" w:rsidP="009376B2">
            <w:pPr>
              <w:spacing w:after="0" w:line="259" w:lineRule="auto"/>
              <w:ind w:left="113" w:firstLine="0"/>
              <w:jc w:val="left"/>
            </w:pPr>
            <w:r>
              <w:rPr>
                <w:b/>
                <w:sz w:val="20"/>
              </w:rPr>
              <w:t xml:space="preserve">Next Review due by: </w:t>
            </w:r>
          </w:p>
        </w:tc>
        <w:tc>
          <w:tcPr>
            <w:tcW w:w="5877" w:type="dxa"/>
            <w:tcBorders>
              <w:top w:val="single" w:sz="4" w:space="0" w:color="000000"/>
              <w:left w:val="single" w:sz="4" w:space="0" w:color="000000"/>
              <w:bottom w:val="single" w:sz="4" w:space="0" w:color="000000"/>
              <w:right w:val="single" w:sz="4" w:space="0" w:color="000000"/>
            </w:tcBorders>
          </w:tcPr>
          <w:p w14:paraId="02C3F9BB" w14:textId="784AC609" w:rsidR="007730EC" w:rsidRDefault="007730EC" w:rsidP="009376B2">
            <w:pPr>
              <w:spacing w:after="0" w:line="259" w:lineRule="auto"/>
              <w:ind w:left="108" w:firstLine="0"/>
              <w:jc w:val="left"/>
            </w:pPr>
            <w:r>
              <w:rPr>
                <w:sz w:val="20"/>
              </w:rPr>
              <w:t>July 202</w:t>
            </w:r>
            <w:r w:rsidR="00804435">
              <w:rPr>
                <w:sz w:val="20"/>
              </w:rPr>
              <w:t>8</w:t>
            </w:r>
          </w:p>
        </w:tc>
      </w:tr>
      <w:tr w:rsidR="007730EC" w14:paraId="760D680A" w14:textId="77777777" w:rsidTr="009376B2">
        <w:trPr>
          <w:trHeight w:val="409"/>
        </w:trPr>
        <w:tc>
          <w:tcPr>
            <w:tcW w:w="3901" w:type="dxa"/>
            <w:tcBorders>
              <w:top w:val="single" w:sz="4" w:space="0" w:color="000000"/>
              <w:left w:val="single" w:sz="4" w:space="0" w:color="000000"/>
              <w:bottom w:val="single" w:sz="4" w:space="0" w:color="000000"/>
              <w:right w:val="single" w:sz="4" w:space="0" w:color="000000"/>
            </w:tcBorders>
          </w:tcPr>
          <w:p w14:paraId="2810ECCD" w14:textId="77777777" w:rsidR="007730EC" w:rsidRDefault="007730EC" w:rsidP="009376B2">
            <w:pPr>
              <w:spacing w:after="0" w:line="259" w:lineRule="auto"/>
              <w:ind w:left="113" w:firstLine="0"/>
              <w:jc w:val="left"/>
            </w:pPr>
            <w:r>
              <w:rPr>
                <w:b/>
                <w:sz w:val="20"/>
              </w:rPr>
              <w:t xml:space="preserve">Author: </w:t>
            </w:r>
          </w:p>
        </w:tc>
        <w:tc>
          <w:tcPr>
            <w:tcW w:w="5877" w:type="dxa"/>
            <w:tcBorders>
              <w:top w:val="single" w:sz="4" w:space="0" w:color="000000"/>
              <w:left w:val="single" w:sz="4" w:space="0" w:color="000000"/>
              <w:bottom w:val="single" w:sz="4" w:space="0" w:color="000000"/>
              <w:right w:val="single" w:sz="4" w:space="0" w:color="000000"/>
            </w:tcBorders>
          </w:tcPr>
          <w:p w14:paraId="2C5939DC" w14:textId="77777777" w:rsidR="007730EC" w:rsidRDefault="007730EC" w:rsidP="009376B2">
            <w:pPr>
              <w:spacing w:after="0" w:line="259" w:lineRule="auto"/>
              <w:ind w:left="0" w:firstLine="0"/>
              <w:jc w:val="left"/>
            </w:pPr>
            <w:r>
              <w:rPr>
                <w:sz w:val="20"/>
              </w:rPr>
              <w:t xml:space="preserve"> Occupational Health Clinical Lead </w:t>
            </w:r>
          </w:p>
        </w:tc>
      </w:tr>
      <w:tr w:rsidR="007730EC" w14:paraId="2439C25A" w14:textId="77777777" w:rsidTr="009376B2">
        <w:trPr>
          <w:trHeight w:val="418"/>
        </w:trPr>
        <w:tc>
          <w:tcPr>
            <w:tcW w:w="3901" w:type="dxa"/>
            <w:tcBorders>
              <w:top w:val="single" w:sz="4" w:space="0" w:color="000000"/>
              <w:left w:val="single" w:sz="4" w:space="0" w:color="000000"/>
              <w:bottom w:val="single" w:sz="4" w:space="0" w:color="000000"/>
              <w:right w:val="single" w:sz="4" w:space="0" w:color="000000"/>
            </w:tcBorders>
          </w:tcPr>
          <w:p w14:paraId="7B5D2D88" w14:textId="77777777" w:rsidR="007730EC" w:rsidRDefault="007730EC" w:rsidP="009376B2">
            <w:pPr>
              <w:spacing w:after="0" w:line="259" w:lineRule="auto"/>
              <w:ind w:left="113" w:firstLine="0"/>
              <w:jc w:val="left"/>
            </w:pPr>
            <w:r>
              <w:rPr>
                <w:b/>
                <w:sz w:val="20"/>
              </w:rPr>
              <w:t xml:space="preserve">Owner (if different from above): </w:t>
            </w:r>
          </w:p>
        </w:tc>
        <w:tc>
          <w:tcPr>
            <w:tcW w:w="5877" w:type="dxa"/>
            <w:tcBorders>
              <w:top w:val="single" w:sz="4" w:space="0" w:color="000000"/>
              <w:left w:val="single" w:sz="4" w:space="0" w:color="000000"/>
              <w:bottom w:val="single" w:sz="4" w:space="0" w:color="000000"/>
              <w:right w:val="single" w:sz="4" w:space="0" w:color="000000"/>
            </w:tcBorders>
          </w:tcPr>
          <w:p w14:paraId="40A8BBCF" w14:textId="77777777" w:rsidR="007730EC" w:rsidRDefault="007730EC" w:rsidP="009376B2">
            <w:pPr>
              <w:spacing w:after="0" w:line="259" w:lineRule="auto"/>
              <w:ind w:left="0" w:firstLine="0"/>
              <w:jc w:val="left"/>
            </w:pPr>
            <w:r>
              <w:rPr>
                <w:sz w:val="20"/>
              </w:rPr>
              <w:t xml:space="preserve">  </w:t>
            </w:r>
          </w:p>
        </w:tc>
      </w:tr>
      <w:tr w:rsidR="007730EC" w14:paraId="7C033229" w14:textId="77777777" w:rsidTr="009376B2">
        <w:trPr>
          <w:trHeight w:val="470"/>
        </w:trPr>
        <w:tc>
          <w:tcPr>
            <w:tcW w:w="3901" w:type="dxa"/>
            <w:tcBorders>
              <w:top w:val="single" w:sz="4" w:space="0" w:color="000000"/>
              <w:left w:val="single" w:sz="4" w:space="0" w:color="000000"/>
              <w:bottom w:val="single" w:sz="4" w:space="0" w:color="000000"/>
              <w:right w:val="single" w:sz="4" w:space="0" w:color="000000"/>
            </w:tcBorders>
          </w:tcPr>
          <w:p w14:paraId="56E1BB7A" w14:textId="77777777" w:rsidR="007730EC" w:rsidRDefault="007730EC" w:rsidP="009376B2">
            <w:pPr>
              <w:spacing w:after="0" w:line="259" w:lineRule="auto"/>
              <w:ind w:left="113" w:firstLine="0"/>
              <w:jc w:val="left"/>
            </w:pPr>
            <w:r>
              <w:rPr>
                <w:b/>
                <w:sz w:val="20"/>
              </w:rPr>
              <w:t xml:space="preserve">Document Location: </w:t>
            </w:r>
          </w:p>
        </w:tc>
        <w:tc>
          <w:tcPr>
            <w:tcW w:w="5877" w:type="dxa"/>
            <w:tcBorders>
              <w:top w:val="single" w:sz="4" w:space="0" w:color="000000"/>
              <w:left w:val="single" w:sz="4" w:space="0" w:color="000000"/>
              <w:bottom w:val="single" w:sz="4" w:space="0" w:color="000000"/>
              <w:right w:val="single" w:sz="4" w:space="0" w:color="000000"/>
            </w:tcBorders>
          </w:tcPr>
          <w:p w14:paraId="2CE22DC9" w14:textId="77777777" w:rsidR="007730EC" w:rsidRDefault="007730EC" w:rsidP="009376B2">
            <w:pPr>
              <w:spacing w:after="0" w:line="259" w:lineRule="auto"/>
              <w:ind w:left="108" w:firstLine="0"/>
              <w:jc w:val="left"/>
            </w:pPr>
            <w:r>
              <w:rPr>
                <w:sz w:val="20"/>
              </w:rPr>
              <w:t>https://</w:t>
            </w:r>
            <w:hyperlink r:id="rId26">
              <w:r>
                <w:rPr>
                  <w:sz w:val="20"/>
                </w:rPr>
                <w:t>www.hud.ac.uk/media/policydocuments/Contamination</w:t>
              </w:r>
            </w:hyperlink>
            <w:hyperlink r:id="rId27">
              <w:r>
                <w:rPr>
                  <w:sz w:val="20"/>
                </w:rPr>
                <w:t xml:space="preserve">- </w:t>
              </w:r>
            </w:hyperlink>
            <w:r>
              <w:rPr>
                <w:sz w:val="20"/>
              </w:rPr>
              <w:t xml:space="preserve">Incident-Policy.pdf </w:t>
            </w:r>
          </w:p>
        </w:tc>
      </w:tr>
      <w:tr w:rsidR="007730EC" w14:paraId="2F700F00" w14:textId="77777777" w:rsidTr="009376B2">
        <w:trPr>
          <w:trHeight w:val="470"/>
        </w:trPr>
        <w:tc>
          <w:tcPr>
            <w:tcW w:w="3901" w:type="dxa"/>
            <w:tcBorders>
              <w:top w:val="single" w:sz="4" w:space="0" w:color="000000"/>
              <w:left w:val="single" w:sz="4" w:space="0" w:color="000000"/>
              <w:bottom w:val="single" w:sz="4" w:space="0" w:color="000000"/>
              <w:right w:val="single" w:sz="4" w:space="0" w:color="000000"/>
            </w:tcBorders>
          </w:tcPr>
          <w:p w14:paraId="21A84D4D" w14:textId="77777777" w:rsidR="007730EC" w:rsidRDefault="007730EC" w:rsidP="009376B2">
            <w:pPr>
              <w:spacing w:after="0" w:line="259" w:lineRule="auto"/>
              <w:ind w:left="113" w:firstLine="0"/>
              <w:jc w:val="left"/>
            </w:pPr>
            <w:r>
              <w:rPr>
                <w:b/>
                <w:sz w:val="20"/>
              </w:rPr>
              <w:t xml:space="preserve">Compliance Measures: </w:t>
            </w:r>
          </w:p>
        </w:tc>
        <w:tc>
          <w:tcPr>
            <w:tcW w:w="5877" w:type="dxa"/>
            <w:tcBorders>
              <w:top w:val="single" w:sz="4" w:space="0" w:color="000000"/>
              <w:left w:val="single" w:sz="4" w:space="0" w:color="000000"/>
              <w:bottom w:val="single" w:sz="4" w:space="0" w:color="000000"/>
              <w:right w:val="single" w:sz="4" w:space="0" w:color="000000"/>
            </w:tcBorders>
          </w:tcPr>
          <w:p w14:paraId="50AA46EF" w14:textId="77777777" w:rsidR="007730EC" w:rsidRDefault="007730EC" w:rsidP="009376B2">
            <w:pPr>
              <w:spacing w:after="0" w:line="259" w:lineRule="auto"/>
              <w:ind w:left="108" w:firstLine="0"/>
              <w:jc w:val="left"/>
            </w:pPr>
            <w:r>
              <w:rPr>
                <w:sz w:val="20"/>
              </w:rPr>
              <w:t xml:space="preserve">Post-incident reviews </w:t>
            </w:r>
          </w:p>
        </w:tc>
      </w:tr>
      <w:tr w:rsidR="007730EC" w14:paraId="0FDEB0D6" w14:textId="77777777" w:rsidTr="009376B2">
        <w:trPr>
          <w:trHeight w:val="2081"/>
        </w:trPr>
        <w:tc>
          <w:tcPr>
            <w:tcW w:w="3901" w:type="dxa"/>
            <w:tcBorders>
              <w:top w:val="single" w:sz="4" w:space="0" w:color="000000"/>
              <w:left w:val="single" w:sz="4" w:space="0" w:color="000000"/>
              <w:bottom w:val="single" w:sz="4" w:space="0" w:color="000000"/>
              <w:right w:val="single" w:sz="4" w:space="0" w:color="000000"/>
            </w:tcBorders>
          </w:tcPr>
          <w:p w14:paraId="78FC341C" w14:textId="77777777" w:rsidR="007730EC" w:rsidRDefault="007730EC" w:rsidP="009376B2">
            <w:pPr>
              <w:spacing w:after="0" w:line="259" w:lineRule="auto"/>
              <w:ind w:left="113" w:firstLine="0"/>
              <w:jc w:val="left"/>
            </w:pPr>
            <w:r>
              <w:rPr>
                <w:b/>
                <w:sz w:val="20"/>
              </w:rPr>
              <w:t xml:space="preserve">Related Policies/Procedures: </w:t>
            </w:r>
          </w:p>
        </w:tc>
        <w:tc>
          <w:tcPr>
            <w:tcW w:w="5877" w:type="dxa"/>
            <w:tcBorders>
              <w:top w:val="single" w:sz="4" w:space="0" w:color="000000"/>
              <w:left w:val="single" w:sz="4" w:space="0" w:color="000000"/>
              <w:bottom w:val="single" w:sz="4" w:space="0" w:color="000000"/>
              <w:right w:val="single" w:sz="4" w:space="0" w:color="000000"/>
            </w:tcBorders>
          </w:tcPr>
          <w:p w14:paraId="7E681074" w14:textId="77777777" w:rsidR="007730EC" w:rsidRDefault="007730EC" w:rsidP="009376B2">
            <w:pPr>
              <w:spacing w:after="0" w:line="259" w:lineRule="auto"/>
              <w:ind w:left="108" w:firstLine="0"/>
              <w:jc w:val="left"/>
            </w:pPr>
            <w:r>
              <w:rPr>
                <w:sz w:val="20"/>
              </w:rPr>
              <w:t xml:space="preserve">University Health &amp; Safety Policy </w:t>
            </w:r>
          </w:p>
          <w:p w14:paraId="794C1CC3" w14:textId="77777777" w:rsidR="007730EC" w:rsidRDefault="007730EC" w:rsidP="009376B2">
            <w:pPr>
              <w:spacing w:after="0" w:line="241" w:lineRule="auto"/>
              <w:ind w:left="108" w:firstLine="0"/>
              <w:jc w:val="left"/>
            </w:pPr>
            <w:hyperlink r:id="rId28">
              <w:r>
                <w:rPr>
                  <w:color w:val="0000FF"/>
                  <w:sz w:val="20"/>
                  <w:u w:val="single" w:color="0000FF"/>
                </w:rPr>
                <w:t>https://www.hud.ac.uk/media/policydocuments/Health</w:t>
              </w:r>
            </w:hyperlink>
            <w:hyperlink r:id="rId29">
              <w:r>
                <w:rPr>
                  <w:color w:val="0000FF"/>
                  <w:sz w:val="20"/>
                  <w:u w:val="single" w:color="0000FF"/>
                </w:rPr>
                <w:t>-</w:t>
              </w:r>
            </w:hyperlink>
            <w:hyperlink r:id="rId30">
              <w:r>
                <w:rPr>
                  <w:color w:val="0000FF"/>
                  <w:sz w:val="20"/>
                  <w:u w:val="single" w:color="0000FF"/>
                </w:rPr>
                <w:t>and</w:t>
              </w:r>
            </w:hyperlink>
            <w:hyperlink r:id="rId31"/>
            <w:hyperlink r:id="rId32">
              <w:r>
                <w:rPr>
                  <w:color w:val="0000FF"/>
                  <w:sz w:val="20"/>
                  <w:u w:val="single" w:color="0000FF"/>
                </w:rPr>
                <w:t>Safety</w:t>
              </w:r>
            </w:hyperlink>
            <w:hyperlink r:id="rId33">
              <w:r>
                <w:rPr>
                  <w:color w:val="0000FF"/>
                  <w:sz w:val="20"/>
                  <w:u w:val="single" w:color="0000FF"/>
                </w:rPr>
                <w:t>-</w:t>
              </w:r>
            </w:hyperlink>
            <w:hyperlink r:id="rId34">
              <w:r>
                <w:rPr>
                  <w:color w:val="0000FF"/>
                  <w:sz w:val="20"/>
                  <w:u w:val="single" w:color="0000FF"/>
                </w:rPr>
                <w:t>Policy.pdf</w:t>
              </w:r>
            </w:hyperlink>
            <w:hyperlink r:id="rId35">
              <w:r>
                <w:rPr>
                  <w:sz w:val="20"/>
                </w:rPr>
                <w:t xml:space="preserve"> </w:t>
              </w:r>
            </w:hyperlink>
          </w:p>
          <w:p w14:paraId="77F850F5" w14:textId="77777777" w:rsidR="007730EC" w:rsidRDefault="007730EC" w:rsidP="009376B2">
            <w:pPr>
              <w:spacing w:after="0" w:line="259" w:lineRule="auto"/>
              <w:ind w:left="108" w:firstLine="0"/>
              <w:jc w:val="left"/>
            </w:pPr>
            <w:r>
              <w:rPr>
                <w:sz w:val="20"/>
              </w:rPr>
              <w:t xml:space="preserve"> </w:t>
            </w:r>
          </w:p>
          <w:p w14:paraId="0C46CB68" w14:textId="77777777" w:rsidR="007730EC" w:rsidRDefault="007730EC" w:rsidP="009376B2">
            <w:pPr>
              <w:spacing w:after="0" w:line="259" w:lineRule="auto"/>
              <w:ind w:left="108" w:firstLine="0"/>
              <w:jc w:val="left"/>
            </w:pPr>
            <w:r>
              <w:rPr>
                <w:sz w:val="20"/>
              </w:rPr>
              <w:t xml:space="preserve">University Occupational Health Policy </w:t>
            </w:r>
          </w:p>
          <w:p w14:paraId="12F606C3" w14:textId="77777777" w:rsidR="007730EC" w:rsidRDefault="007730EC" w:rsidP="009376B2">
            <w:pPr>
              <w:spacing w:after="0" w:line="259" w:lineRule="auto"/>
              <w:ind w:left="108" w:firstLine="0"/>
              <w:jc w:val="left"/>
            </w:pPr>
            <w:hyperlink r:id="rId36" w:anchor="!">
              <w:r>
                <w:rPr>
                  <w:color w:val="0000FF"/>
                  <w:sz w:val="20"/>
                  <w:u w:val="single" w:color="0000FF"/>
                </w:rPr>
                <w:t>https://staff.hud.ac.uk/oh/policies/#!#d.en.37250</w:t>
              </w:r>
            </w:hyperlink>
            <w:hyperlink r:id="rId37" w:anchor="!">
              <w:r>
                <w:rPr>
                  <w:color w:val="0000FF"/>
                  <w:sz w:val="20"/>
                  <w:u w:val="single" w:color="0000FF"/>
                </w:rPr>
                <w:t>7</w:t>
              </w:r>
            </w:hyperlink>
            <w:hyperlink r:id="rId38" w:anchor="!">
              <w:r>
                <w:rPr>
                  <w:sz w:val="20"/>
                </w:rPr>
                <w:t xml:space="preserve"> </w:t>
              </w:r>
            </w:hyperlink>
            <w:r>
              <w:rPr>
                <w:sz w:val="20"/>
              </w:rPr>
              <w:t xml:space="preserve"> </w:t>
            </w:r>
          </w:p>
          <w:p w14:paraId="036E203D" w14:textId="77777777" w:rsidR="007730EC" w:rsidRDefault="007730EC" w:rsidP="009376B2">
            <w:pPr>
              <w:spacing w:after="0" w:line="259" w:lineRule="auto"/>
              <w:ind w:left="108" w:firstLine="0"/>
              <w:jc w:val="left"/>
            </w:pPr>
            <w:r>
              <w:rPr>
                <w:sz w:val="20"/>
              </w:rPr>
              <w:t xml:space="preserve"> </w:t>
            </w:r>
          </w:p>
          <w:p w14:paraId="32D77CE2" w14:textId="77777777" w:rsidR="007730EC" w:rsidRDefault="007730EC" w:rsidP="009376B2">
            <w:pPr>
              <w:spacing w:after="0" w:line="259" w:lineRule="auto"/>
              <w:ind w:left="108" w:right="55" w:firstLine="0"/>
              <w:jc w:val="left"/>
            </w:pPr>
            <w:r>
              <w:rPr>
                <w:sz w:val="20"/>
              </w:rPr>
              <w:t xml:space="preserve">Occupational Health Service Contamination Incident Procedure </w:t>
            </w:r>
          </w:p>
        </w:tc>
      </w:tr>
    </w:tbl>
    <w:p w14:paraId="6D32C733" w14:textId="77777777" w:rsidR="007730EC" w:rsidRDefault="007730EC" w:rsidP="007730EC">
      <w:pPr>
        <w:spacing w:after="0" w:line="259" w:lineRule="auto"/>
        <w:ind w:left="0" w:firstLine="0"/>
      </w:pPr>
      <w:r>
        <w:rPr>
          <w:sz w:val="20"/>
        </w:rPr>
        <w:t xml:space="preserve"> </w:t>
      </w:r>
    </w:p>
    <w:p w14:paraId="5010D7FA" w14:textId="77777777" w:rsidR="007730EC" w:rsidRDefault="007730EC" w:rsidP="007730EC">
      <w:pPr>
        <w:spacing w:after="0" w:line="259" w:lineRule="auto"/>
        <w:ind w:left="0" w:firstLine="0"/>
      </w:pPr>
      <w:r>
        <w:rPr>
          <w:sz w:val="20"/>
        </w:rPr>
        <w:t xml:space="preserve"> </w:t>
      </w:r>
    </w:p>
    <w:p w14:paraId="313A73C1" w14:textId="77777777" w:rsidR="007730EC" w:rsidRDefault="007730EC" w:rsidP="007730EC">
      <w:pPr>
        <w:spacing w:after="0" w:line="259" w:lineRule="auto"/>
        <w:ind w:left="0" w:firstLine="0"/>
      </w:pPr>
      <w:r>
        <w:rPr>
          <w:sz w:val="20"/>
        </w:rPr>
        <w:t xml:space="preserve"> </w:t>
      </w:r>
    </w:p>
    <w:tbl>
      <w:tblPr>
        <w:tblStyle w:val="TableGrid"/>
        <w:tblW w:w="9782" w:type="dxa"/>
        <w:tblInd w:w="0" w:type="dxa"/>
        <w:tblCellMar>
          <w:top w:w="7" w:type="dxa"/>
          <w:left w:w="113" w:type="dxa"/>
          <w:right w:w="153" w:type="dxa"/>
        </w:tblCellMar>
        <w:tblLook w:val="04A0" w:firstRow="1" w:lastRow="0" w:firstColumn="1" w:lastColumn="0" w:noHBand="0" w:noVBand="1"/>
      </w:tblPr>
      <w:tblGrid>
        <w:gridCol w:w="1248"/>
        <w:gridCol w:w="1417"/>
        <w:gridCol w:w="3480"/>
        <w:gridCol w:w="3637"/>
      </w:tblGrid>
      <w:tr w:rsidR="007730EC" w14:paraId="3FD20E86" w14:textId="77777777" w:rsidTr="009376B2">
        <w:trPr>
          <w:trHeight w:val="386"/>
        </w:trPr>
        <w:tc>
          <w:tcPr>
            <w:tcW w:w="2665" w:type="dxa"/>
            <w:gridSpan w:val="2"/>
            <w:tcBorders>
              <w:top w:val="single" w:sz="4" w:space="0" w:color="000000"/>
              <w:left w:val="single" w:sz="4" w:space="0" w:color="000000"/>
              <w:bottom w:val="single" w:sz="4" w:space="0" w:color="000000"/>
              <w:right w:val="nil"/>
            </w:tcBorders>
          </w:tcPr>
          <w:p w14:paraId="2A77761A" w14:textId="77777777" w:rsidR="007730EC" w:rsidRDefault="007730EC" w:rsidP="009376B2">
            <w:pPr>
              <w:spacing w:after="0" w:line="259" w:lineRule="auto"/>
              <w:ind w:left="3" w:firstLine="0"/>
              <w:jc w:val="left"/>
            </w:pPr>
            <w:r>
              <w:rPr>
                <w:b/>
                <w:color w:val="365F91"/>
              </w:rPr>
              <w:t>REVISION HISTORY</w:t>
            </w:r>
            <w:r>
              <w:rPr>
                <w:b/>
              </w:rPr>
              <w:t xml:space="preserve"> </w:t>
            </w:r>
          </w:p>
        </w:tc>
        <w:tc>
          <w:tcPr>
            <w:tcW w:w="3480" w:type="dxa"/>
            <w:tcBorders>
              <w:top w:val="single" w:sz="4" w:space="0" w:color="000000"/>
              <w:left w:val="nil"/>
              <w:bottom w:val="single" w:sz="4" w:space="0" w:color="000000"/>
              <w:right w:val="nil"/>
            </w:tcBorders>
          </w:tcPr>
          <w:p w14:paraId="43FA85C2" w14:textId="77777777" w:rsidR="007730EC" w:rsidRDefault="007730EC" w:rsidP="009376B2">
            <w:pPr>
              <w:spacing w:after="160" w:line="259" w:lineRule="auto"/>
              <w:ind w:left="0" w:firstLine="0"/>
              <w:jc w:val="left"/>
            </w:pPr>
          </w:p>
        </w:tc>
        <w:tc>
          <w:tcPr>
            <w:tcW w:w="3637" w:type="dxa"/>
            <w:tcBorders>
              <w:top w:val="single" w:sz="4" w:space="0" w:color="000000"/>
              <w:left w:val="nil"/>
              <w:bottom w:val="single" w:sz="4" w:space="0" w:color="000000"/>
              <w:right w:val="single" w:sz="4" w:space="0" w:color="000000"/>
            </w:tcBorders>
          </w:tcPr>
          <w:p w14:paraId="7CEA33CC" w14:textId="77777777" w:rsidR="007730EC" w:rsidRDefault="007730EC" w:rsidP="009376B2">
            <w:pPr>
              <w:spacing w:after="160" w:line="259" w:lineRule="auto"/>
              <w:ind w:left="0" w:firstLine="0"/>
              <w:jc w:val="left"/>
            </w:pPr>
          </w:p>
        </w:tc>
      </w:tr>
      <w:tr w:rsidR="007730EC" w14:paraId="6B7F0C8F" w14:textId="77777777" w:rsidTr="009376B2">
        <w:trPr>
          <w:trHeight w:val="468"/>
        </w:trPr>
        <w:tc>
          <w:tcPr>
            <w:tcW w:w="1248" w:type="dxa"/>
            <w:tcBorders>
              <w:top w:val="single" w:sz="4" w:space="0" w:color="000000"/>
              <w:left w:val="single" w:sz="4" w:space="0" w:color="000000"/>
              <w:bottom w:val="single" w:sz="4" w:space="0" w:color="000000"/>
              <w:right w:val="single" w:sz="4" w:space="0" w:color="000000"/>
            </w:tcBorders>
          </w:tcPr>
          <w:p w14:paraId="7883F66E" w14:textId="77777777" w:rsidR="007730EC" w:rsidRDefault="007730EC" w:rsidP="009376B2">
            <w:pPr>
              <w:spacing w:after="0" w:line="259" w:lineRule="auto"/>
              <w:ind w:left="3" w:firstLine="0"/>
              <w:jc w:val="left"/>
            </w:pPr>
            <w:r>
              <w:rPr>
                <w:b/>
                <w:sz w:val="20"/>
              </w:rPr>
              <w:t xml:space="preserve">Version </w:t>
            </w:r>
          </w:p>
        </w:tc>
        <w:tc>
          <w:tcPr>
            <w:tcW w:w="1417" w:type="dxa"/>
            <w:tcBorders>
              <w:top w:val="single" w:sz="4" w:space="0" w:color="000000"/>
              <w:left w:val="single" w:sz="4" w:space="0" w:color="000000"/>
              <w:bottom w:val="single" w:sz="4" w:space="0" w:color="000000"/>
              <w:right w:val="single" w:sz="4" w:space="0" w:color="000000"/>
            </w:tcBorders>
          </w:tcPr>
          <w:p w14:paraId="7991CC4C" w14:textId="77777777" w:rsidR="007730EC" w:rsidRDefault="007730EC" w:rsidP="009376B2">
            <w:pPr>
              <w:spacing w:after="0" w:line="259" w:lineRule="auto"/>
              <w:ind w:left="0" w:firstLine="0"/>
              <w:jc w:val="left"/>
            </w:pPr>
            <w:r>
              <w:rPr>
                <w:b/>
                <w:sz w:val="20"/>
              </w:rPr>
              <w:t xml:space="preserve">Date </w:t>
            </w:r>
          </w:p>
        </w:tc>
        <w:tc>
          <w:tcPr>
            <w:tcW w:w="3480" w:type="dxa"/>
            <w:tcBorders>
              <w:top w:val="single" w:sz="4" w:space="0" w:color="000000"/>
              <w:left w:val="single" w:sz="4" w:space="0" w:color="000000"/>
              <w:bottom w:val="single" w:sz="4" w:space="0" w:color="000000"/>
              <w:right w:val="single" w:sz="4" w:space="0" w:color="000000"/>
            </w:tcBorders>
          </w:tcPr>
          <w:p w14:paraId="69578701" w14:textId="77777777" w:rsidR="007730EC" w:rsidRDefault="007730EC" w:rsidP="009376B2">
            <w:pPr>
              <w:spacing w:after="0" w:line="259" w:lineRule="auto"/>
              <w:ind w:left="2" w:firstLine="0"/>
              <w:jc w:val="left"/>
            </w:pPr>
            <w:r>
              <w:rPr>
                <w:b/>
                <w:sz w:val="20"/>
              </w:rPr>
              <w:t xml:space="preserve">Revision description/Summary of changes </w:t>
            </w:r>
          </w:p>
        </w:tc>
        <w:tc>
          <w:tcPr>
            <w:tcW w:w="3637" w:type="dxa"/>
            <w:tcBorders>
              <w:top w:val="single" w:sz="4" w:space="0" w:color="000000"/>
              <w:left w:val="single" w:sz="4" w:space="0" w:color="000000"/>
              <w:bottom w:val="single" w:sz="4" w:space="0" w:color="000000"/>
              <w:right w:val="single" w:sz="4" w:space="0" w:color="000000"/>
            </w:tcBorders>
          </w:tcPr>
          <w:p w14:paraId="5DE313E4" w14:textId="77777777" w:rsidR="007730EC" w:rsidRDefault="007730EC" w:rsidP="009376B2">
            <w:pPr>
              <w:spacing w:after="0" w:line="259" w:lineRule="auto"/>
              <w:ind w:left="0" w:firstLine="0"/>
              <w:jc w:val="left"/>
            </w:pPr>
            <w:r>
              <w:rPr>
                <w:b/>
                <w:sz w:val="20"/>
              </w:rPr>
              <w:t xml:space="preserve">Author </w:t>
            </w:r>
          </w:p>
        </w:tc>
      </w:tr>
      <w:tr w:rsidR="007730EC" w14:paraId="5AD0C271" w14:textId="77777777" w:rsidTr="009376B2">
        <w:trPr>
          <w:trHeight w:val="468"/>
        </w:trPr>
        <w:tc>
          <w:tcPr>
            <w:tcW w:w="1248" w:type="dxa"/>
            <w:tcBorders>
              <w:top w:val="single" w:sz="4" w:space="0" w:color="000000"/>
              <w:left w:val="single" w:sz="4" w:space="0" w:color="000000"/>
              <w:bottom w:val="single" w:sz="4" w:space="0" w:color="000000"/>
              <w:right w:val="single" w:sz="4" w:space="0" w:color="000000"/>
            </w:tcBorders>
          </w:tcPr>
          <w:p w14:paraId="0411B806" w14:textId="77777777" w:rsidR="007730EC" w:rsidRDefault="007730EC" w:rsidP="009376B2">
            <w:pPr>
              <w:spacing w:after="0" w:line="259" w:lineRule="auto"/>
              <w:ind w:left="3" w:firstLine="0"/>
              <w:jc w:val="left"/>
              <w:rPr>
                <w:sz w:val="20"/>
              </w:rPr>
            </w:pPr>
            <w:r>
              <w:rPr>
                <w:sz w:val="20"/>
              </w:rPr>
              <w:t>V2.2</w:t>
            </w:r>
          </w:p>
        </w:tc>
        <w:tc>
          <w:tcPr>
            <w:tcW w:w="1417" w:type="dxa"/>
            <w:tcBorders>
              <w:top w:val="single" w:sz="4" w:space="0" w:color="000000"/>
              <w:left w:val="single" w:sz="4" w:space="0" w:color="000000"/>
              <w:bottom w:val="single" w:sz="4" w:space="0" w:color="000000"/>
              <w:right w:val="single" w:sz="4" w:space="0" w:color="000000"/>
            </w:tcBorders>
          </w:tcPr>
          <w:p w14:paraId="36CD6B36" w14:textId="77777777" w:rsidR="007730EC" w:rsidRDefault="007730EC" w:rsidP="009376B2">
            <w:pPr>
              <w:spacing w:after="0" w:line="259" w:lineRule="auto"/>
              <w:ind w:left="0" w:firstLine="0"/>
              <w:jc w:val="left"/>
              <w:rPr>
                <w:sz w:val="20"/>
              </w:rPr>
            </w:pPr>
            <w:r>
              <w:rPr>
                <w:sz w:val="20"/>
              </w:rPr>
              <w:t>Sept 2025</w:t>
            </w:r>
          </w:p>
        </w:tc>
        <w:tc>
          <w:tcPr>
            <w:tcW w:w="3480" w:type="dxa"/>
            <w:tcBorders>
              <w:top w:val="single" w:sz="4" w:space="0" w:color="000000"/>
              <w:left w:val="single" w:sz="4" w:space="0" w:color="000000"/>
              <w:bottom w:val="single" w:sz="4" w:space="0" w:color="000000"/>
              <w:right w:val="single" w:sz="4" w:space="0" w:color="000000"/>
            </w:tcBorders>
          </w:tcPr>
          <w:p w14:paraId="63FD8D3D" w14:textId="77777777" w:rsidR="007730EC" w:rsidRDefault="007730EC" w:rsidP="009376B2">
            <w:pPr>
              <w:spacing w:after="0" w:line="259" w:lineRule="auto"/>
              <w:ind w:left="2" w:firstLine="0"/>
              <w:jc w:val="left"/>
              <w:rPr>
                <w:sz w:val="20"/>
              </w:rPr>
            </w:pPr>
            <w:r>
              <w:rPr>
                <w:sz w:val="20"/>
              </w:rPr>
              <w:t>Policy Review, update to H&amp;S reporting link – minor change</w:t>
            </w:r>
          </w:p>
          <w:p w14:paraId="0196D6D4" w14:textId="27B51484" w:rsidR="00EE3536" w:rsidRDefault="00EE3536" w:rsidP="009376B2">
            <w:pPr>
              <w:spacing w:after="0" w:line="259" w:lineRule="auto"/>
              <w:ind w:left="2" w:firstLine="0"/>
              <w:jc w:val="left"/>
              <w:rPr>
                <w:sz w:val="20"/>
              </w:rPr>
            </w:pPr>
            <w:r>
              <w:rPr>
                <w:sz w:val="20"/>
              </w:rPr>
              <w:t xml:space="preserve">Changes </w:t>
            </w:r>
            <w:r w:rsidR="002723DF">
              <w:rPr>
                <w:sz w:val="20"/>
              </w:rPr>
              <w:t xml:space="preserve">made to reflect </w:t>
            </w:r>
            <w:r w:rsidR="001F53CD">
              <w:rPr>
                <w:sz w:val="20"/>
              </w:rPr>
              <w:t>changes in gui</w:t>
            </w:r>
            <w:r w:rsidR="00F96C5D">
              <w:rPr>
                <w:sz w:val="20"/>
              </w:rPr>
              <w:t>dance</w:t>
            </w:r>
          </w:p>
        </w:tc>
        <w:tc>
          <w:tcPr>
            <w:tcW w:w="3637" w:type="dxa"/>
            <w:tcBorders>
              <w:top w:val="single" w:sz="4" w:space="0" w:color="000000"/>
              <w:left w:val="single" w:sz="4" w:space="0" w:color="000000"/>
              <w:bottom w:val="single" w:sz="4" w:space="0" w:color="000000"/>
              <w:right w:val="single" w:sz="4" w:space="0" w:color="000000"/>
            </w:tcBorders>
          </w:tcPr>
          <w:p w14:paraId="12BC3F30" w14:textId="77777777" w:rsidR="007730EC" w:rsidRDefault="007730EC" w:rsidP="009376B2">
            <w:pPr>
              <w:spacing w:after="0" w:line="259" w:lineRule="auto"/>
              <w:ind w:left="0" w:firstLine="0"/>
              <w:jc w:val="left"/>
              <w:rPr>
                <w:sz w:val="20"/>
              </w:rPr>
            </w:pPr>
            <w:r>
              <w:rPr>
                <w:sz w:val="20"/>
              </w:rPr>
              <w:t xml:space="preserve">OH Clinical Lead  </w:t>
            </w:r>
          </w:p>
        </w:tc>
      </w:tr>
      <w:tr w:rsidR="007730EC" w14:paraId="246F17B6" w14:textId="77777777" w:rsidTr="009376B2">
        <w:trPr>
          <w:trHeight w:val="468"/>
        </w:trPr>
        <w:tc>
          <w:tcPr>
            <w:tcW w:w="1248" w:type="dxa"/>
            <w:tcBorders>
              <w:top w:val="single" w:sz="4" w:space="0" w:color="000000"/>
              <w:left w:val="single" w:sz="4" w:space="0" w:color="000000"/>
              <w:bottom w:val="single" w:sz="4" w:space="0" w:color="000000"/>
              <w:right w:val="single" w:sz="4" w:space="0" w:color="000000"/>
            </w:tcBorders>
          </w:tcPr>
          <w:p w14:paraId="15C062A0" w14:textId="77777777" w:rsidR="007730EC" w:rsidRDefault="007730EC" w:rsidP="009376B2">
            <w:pPr>
              <w:spacing w:after="0" w:line="259" w:lineRule="auto"/>
              <w:ind w:left="3" w:firstLine="0"/>
              <w:jc w:val="left"/>
            </w:pPr>
            <w:r>
              <w:rPr>
                <w:sz w:val="20"/>
              </w:rPr>
              <w:t xml:space="preserve">V2.1 </w:t>
            </w:r>
          </w:p>
        </w:tc>
        <w:tc>
          <w:tcPr>
            <w:tcW w:w="1417" w:type="dxa"/>
            <w:tcBorders>
              <w:top w:val="single" w:sz="4" w:space="0" w:color="000000"/>
              <w:left w:val="single" w:sz="4" w:space="0" w:color="000000"/>
              <w:bottom w:val="single" w:sz="4" w:space="0" w:color="000000"/>
              <w:right w:val="single" w:sz="4" w:space="0" w:color="000000"/>
            </w:tcBorders>
          </w:tcPr>
          <w:p w14:paraId="10944FC5" w14:textId="77777777" w:rsidR="007730EC" w:rsidRDefault="007730EC" w:rsidP="009376B2">
            <w:pPr>
              <w:spacing w:after="0" w:line="259" w:lineRule="auto"/>
              <w:ind w:left="0" w:firstLine="0"/>
              <w:jc w:val="left"/>
            </w:pPr>
            <w:r>
              <w:rPr>
                <w:sz w:val="20"/>
              </w:rPr>
              <w:t xml:space="preserve">June 2022 </w:t>
            </w:r>
          </w:p>
        </w:tc>
        <w:tc>
          <w:tcPr>
            <w:tcW w:w="3480" w:type="dxa"/>
            <w:tcBorders>
              <w:top w:val="single" w:sz="4" w:space="0" w:color="000000"/>
              <w:left w:val="single" w:sz="4" w:space="0" w:color="000000"/>
              <w:bottom w:val="single" w:sz="4" w:space="0" w:color="000000"/>
              <w:right w:val="single" w:sz="4" w:space="0" w:color="000000"/>
            </w:tcBorders>
          </w:tcPr>
          <w:p w14:paraId="24C50286" w14:textId="77777777" w:rsidR="007730EC" w:rsidRDefault="007730EC" w:rsidP="009376B2">
            <w:pPr>
              <w:spacing w:after="0" w:line="259" w:lineRule="auto"/>
              <w:ind w:left="2" w:firstLine="0"/>
              <w:jc w:val="left"/>
            </w:pPr>
            <w:r>
              <w:rPr>
                <w:sz w:val="20"/>
              </w:rPr>
              <w:t xml:space="preserve">Policy review, job title amendments and other minor changes  </w:t>
            </w:r>
          </w:p>
        </w:tc>
        <w:tc>
          <w:tcPr>
            <w:tcW w:w="3637" w:type="dxa"/>
            <w:tcBorders>
              <w:top w:val="single" w:sz="4" w:space="0" w:color="000000"/>
              <w:left w:val="single" w:sz="4" w:space="0" w:color="000000"/>
              <w:bottom w:val="single" w:sz="4" w:space="0" w:color="000000"/>
              <w:right w:val="single" w:sz="4" w:space="0" w:color="000000"/>
            </w:tcBorders>
          </w:tcPr>
          <w:p w14:paraId="34FE8CDF" w14:textId="77777777" w:rsidR="007730EC" w:rsidRDefault="007730EC" w:rsidP="009376B2">
            <w:pPr>
              <w:spacing w:after="0" w:line="259" w:lineRule="auto"/>
              <w:ind w:left="0" w:firstLine="0"/>
              <w:jc w:val="left"/>
            </w:pPr>
            <w:r>
              <w:rPr>
                <w:sz w:val="20"/>
              </w:rPr>
              <w:t xml:space="preserve">OH Clinical Lead  </w:t>
            </w:r>
          </w:p>
        </w:tc>
      </w:tr>
      <w:tr w:rsidR="007730EC" w14:paraId="61CD943D" w14:textId="77777777" w:rsidTr="009376B2">
        <w:trPr>
          <w:trHeight w:val="476"/>
        </w:trPr>
        <w:tc>
          <w:tcPr>
            <w:tcW w:w="1248" w:type="dxa"/>
            <w:tcBorders>
              <w:top w:val="single" w:sz="4" w:space="0" w:color="000000"/>
              <w:left w:val="single" w:sz="4" w:space="0" w:color="000000"/>
              <w:bottom w:val="single" w:sz="4" w:space="0" w:color="000000"/>
              <w:right w:val="single" w:sz="4" w:space="0" w:color="000000"/>
            </w:tcBorders>
          </w:tcPr>
          <w:p w14:paraId="54ED6CA5" w14:textId="77777777" w:rsidR="007730EC" w:rsidRDefault="007730EC" w:rsidP="009376B2">
            <w:pPr>
              <w:spacing w:after="0" w:line="259" w:lineRule="auto"/>
              <w:ind w:left="3" w:firstLine="0"/>
              <w:jc w:val="left"/>
            </w:pPr>
            <w:r>
              <w:rPr>
                <w:sz w:val="20"/>
              </w:rPr>
              <w:t xml:space="preserve">V2.0 </w:t>
            </w:r>
          </w:p>
        </w:tc>
        <w:tc>
          <w:tcPr>
            <w:tcW w:w="1417" w:type="dxa"/>
            <w:tcBorders>
              <w:top w:val="single" w:sz="4" w:space="0" w:color="000000"/>
              <w:left w:val="single" w:sz="4" w:space="0" w:color="000000"/>
              <w:bottom w:val="single" w:sz="4" w:space="0" w:color="000000"/>
              <w:right w:val="single" w:sz="4" w:space="0" w:color="000000"/>
            </w:tcBorders>
          </w:tcPr>
          <w:p w14:paraId="336DD361" w14:textId="77777777" w:rsidR="007730EC" w:rsidRDefault="007730EC" w:rsidP="009376B2">
            <w:pPr>
              <w:spacing w:after="0" w:line="259" w:lineRule="auto"/>
              <w:ind w:left="0" w:firstLine="0"/>
              <w:jc w:val="left"/>
            </w:pPr>
            <w:r>
              <w:rPr>
                <w:sz w:val="20"/>
              </w:rPr>
              <w:t xml:space="preserve">Sept 2019 </w:t>
            </w:r>
          </w:p>
        </w:tc>
        <w:tc>
          <w:tcPr>
            <w:tcW w:w="3480" w:type="dxa"/>
            <w:tcBorders>
              <w:top w:val="single" w:sz="4" w:space="0" w:color="000000"/>
              <w:left w:val="single" w:sz="4" w:space="0" w:color="000000"/>
              <w:bottom w:val="single" w:sz="4" w:space="0" w:color="000000"/>
              <w:right w:val="single" w:sz="4" w:space="0" w:color="000000"/>
            </w:tcBorders>
          </w:tcPr>
          <w:p w14:paraId="1752F720" w14:textId="77777777" w:rsidR="007730EC" w:rsidRDefault="007730EC" w:rsidP="009376B2">
            <w:pPr>
              <w:spacing w:after="0" w:line="259" w:lineRule="auto"/>
              <w:ind w:left="2" w:firstLine="0"/>
            </w:pPr>
            <w:r>
              <w:rPr>
                <w:sz w:val="20"/>
              </w:rPr>
              <w:t xml:space="preserve">Transfer to the Policy Framework template – no other changes. </w:t>
            </w:r>
          </w:p>
        </w:tc>
        <w:tc>
          <w:tcPr>
            <w:tcW w:w="3637" w:type="dxa"/>
            <w:tcBorders>
              <w:top w:val="single" w:sz="4" w:space="0" w:color="000000"/>
              <w:left w:val="single" w:sz="4" w:space="0" w:color="000000"/>
              <w:bottom w:val="single" w:sz="4" w:space="0" w:color="000000"/>
              <w:right w:val="single" w:sz="4" w:space="0" w:color="000000"/>
            </w:tcBorders>
          </w:tcPr>
          <w:p w14:paraId="64DF33A8" w14:textId="77777777" w:rsidR="007730EC" w:rsidRDefault="007730EC" w:rsidP="009376B2">
            <w:pPr>
              <w:spacing w:after="0" w:line="259" w:lineRule="auto"/>
              <w:ind w:left="0" w:firstLine="0"/>
              <w:jc w:val="left"/>
            </w:pPr>
            <w:r>
              <w:rPr>
                <w:sz w:val="20"/>
              </w:rPr>
              <w:t xml:space="preserve">Head of Occupational Health </w:t>
            </w:r>
          </w:p>
        </w:tc>
      </w:tr>
      <w:tr w:rsidR="007730EC" w14:paraId="735E4780" w14:textId="77777777" w:rsidTr="009376B2">
        <w:trPr>
          <w:trHeight w:val="475"/>
        </w:trPr>
        <w:tc>
          <w:tcPr>
            <w:tcW w:w="1248" w:type="dxa"/>
            <w:tcBorders>
              <w:top w:val="single" w:sz="4" w:space="0" w:color="000000"/>
              <w:left w:val="single" w:sz="4" w:space="0" w:color="000000"/>
              <w:bottom w:val="single" w:sz="4" w:space="0" w:color="000000"/>
              <w:right w:val="single" w:sz="4" w:space="0" w:color="000000"/>
            </w:tcBorders>
          </w:tcPr>
          <w:p w14:paraId="26BCCAB1" w14:textId="77777777" w:rsidR="007730EC" w:rsidRDefault="007730EC" w:rsidP="009376B2">
            <w:pPr>
              <w:spacing w:after="0" w:line="259" w:lineRule="auto"/>
              <w:ind w:left="3" w:firstLine="0"/>
              <w:jc w:val="left"/>
            </w:pPr>
            <w:r>
              <w:rPr>
                <w:sz w:val="20"/>
              </w:rPr>
              <w:t xml:space="preserve">V1.2 </w:t>
            </w:r>
          </w:p>
        </w:tc>
        <w:tc>
          <w:tcPr>
            <w:tcW w:w="1417" w:type="dxa"/>
            <w:tcBorders>
              <w:top w:val="single" w:sz="4" w:space="0" w:color="000000"/>
              <w:left w:val="single" w:sz="4" w:space="0" w:color="000000"/>
              <w:bottom w:val="single" w:sz="4" w:space="0" w:color="000000"/>
              <w:right w:val="single" w:sz="4" w:space="0" w:color="000000"/>
            </w:tcBorders>
          </w:tcPr>
          <w:p w14:paraId="33B8BCAC" w14:textId="77777777" w:rsidR="007730EC" w:rsidRDefault="007730EC" w:rsidP="009376B2">
            <w:pPr>
              <w:spacing w:after="0" w:line="259" w:lineRule="auto"/>
              <w:ind w:left="0" w:firstLine="0"/>
              <w:jc w:val="left"/>
            </w:pPr>
            <w:r>
              <w:rPr>
                <w:sz w:val="20"/>
              </w:rPr>
              <w:t xml:space="preserve">March 2018 </w:t>
            </w:r>
          </w:p>
        </w:tc>
        <w:tc>
          <w:tcPr>
            <w:tcW w:w="3480" w:type="dxa"/>
            <w:tcBorders>
              <w:top w:val="single" w:sz="4" w:space="0" w:color="000000"/>
              <w:left w:val="single" w:sz="4" w:space="0" w:color="000000"/>
              <w:bottom w:val="single" w:sz="4" w:space="0" w:color="000000"/>
              <w:right w:val="single" w:sz="4" w:space="0" w:color="000000"/>
            </w:tcBorders>
          </w:tcPr>
          <w:p w14:paraId="512ADA31" w14:textId="77777777" w:rsidR="007730EC" w:rsidRDefault="007730EC" w:rsidP="009376B2">
            <w:pPr>
              <w:spacing w:after="0" w:line="259" w:lineRule="auto"/>
              <w:ind w:left="2" w:firstLine="0"/>
              <w:jc w:val="left"/>
            </w:pPr>
            <w:r>
              <w:rPr>
                <w:sz w:val="20"/>
              </w:rPr>
              <w:t xml:space="preserve">Job titles updated (minor amends) </w:t>
            </w:r>
          </w:p>
        </w:tc>
        <w:tc>
          <w:tcPr>
            <w:tcW w:w="3637" w:type="dxa"/>
            <w:tcBorders>
              <w:top w:val="single" w:sz="4" w:space="0" w:color="000000"/>
              <w:left w:val="single" w:sz="4" w:space="0" w:color="000000"/>
              <w:bottom w:val="single" w:sz="4" w:space="0" w:color="000000"/>
              <w:right w:val="single" w:sz="4" w:space="0" w:color="000000"/>
            </w:tcBorders>
          </w:tcPr>
          <w:p w14:paraId="74015D1E" w14:textId="77777777" w:rsidR="007730EC" w:rsidRDefault="007730EC" w:rsidP="009376B2">
            <w:pPr>
              <w:spacing w:after="0" w:line="259" w:lineRule="auto"/>
              <w:ind w:left="0" w:firstLine="0"/>
              <w:jc w:val="left"/>
            </w:pPr>
            <w:r>
              <w:rPr>
                <w:sz w:val="20"/>
              </w:rPr>
              <w:t xml:space="preserve">Head of Occupational Health </w:t>
            </w:r>
          </w:p>
        </w:tc>
      </w:tr>
      <w:tr w:rsidR="007730EC" w14:paraId="4E7155B1" w14:textId="77777777" w:rsidTr="009376B2">
        <w:trPr>
          <w:trHeight w:val="473"/>
        </w:trPr>
        <w:tc>
          <w:tcPr>
            <w:tcW w:w="1248" w:type="dxa"/>
            <w:tcBorders>
              <w:top w:val="single" w:sz="4" w:space="0" w:color="000000"/>
              <w:left w:val="single" w:sz="4" w:space="0" w:color="000000"/>
              <w:bottom w:val="single" w:sz="4" w:space="0" w:color="000000"/>
              <w:right w:val="single" w:sz="4" w:space="0" w:color="000000"/>
            </w:tcBorders>
          </w:tcPr>
          <w:p w14:paraId="02E9E03B" w14:textId="77777777" w:rsidR="007730EC" w:rsidRDefault="007730EC" w:rsidP="009376B2">
            <w:pPr>
              <w:spacing w:after="0" w:line="259" w:lineRule="auto"/>
              <w:ind w:left="3" w:firstLine="0"/>
              <w:jc w:val="left"/>
            </w:pPr>
            <w:r>
              <w:rPr>
                <w:sz w:val="20"/>
              </w:rPr>
              <w:t xml:space="preserve">V1.1 </w:t>
            </w:r>
          </w:p>
        </w:tc>
        <w:tc>
          <w:tcPr>
            <w:tcW w:w="1417" w:type="dxa"/>
            <w:tcBorders>
              <w:top w:val="single" w:sz="4" w:space="0" w:color="000000"/>
              <w:left w:val="single" w:sz="4" w:space="0" w:color="000000"/>
              <w:bottom w:val="single" w:sz="4" w:space="0" w:color="000000"/>
              <w:right w:val="single" w:sz="4" w:space="0" w:color="000000"/>
            </w:tcBorders>
          </w:tcPr>
          <w:p w14:paraId="614BEC1B" w14:textId="77777777" w:rsidR="007730EC" w:rsidRDefault="007730EC" w:rsidP="009376B2">
            <w:pPr>
              <w:spacing w:after="0" w:line="259" w:lineRule="auto"/>
              <w:ind w:left="0" w:firstLine="0"/>
              <w:jc w:val="left"/>
            </w:pPr>
            <w:r>
              <w:rPr>
                <w:sz w:val="20"/>
              </w:rPr>
              <w:t xml:space="preserve">Sept 2017 </w:t>
            </w:r>
          </w:p>
        </w:tc>
        <w:tc>
          <w:tcPr>
            <w:tcW w:w="3480" w:type="dxa"/>
            <w:tcBorders>
              <w:top w:val="single" w:sz="4" w:space="0" w:color="000000"/>
              <w:left w:val="single" w:sz="4" w:space="0" w:color="000000"/>
              <w:bottom w:val="single" w:sz="4" w:space="0" w:color="000000"/>
              <w:right w:val="single" w:sz="4" w:space="0" w:color="000000"/>
            </w:tcBorders>
          </w:tcPr>
          <w:p w14:paraId="38ADBC40" w14:textId="77777777" w:rsidR="007730EC" w:rsidRDefault="007730EC" w:rsidP="009376B2">
            <w:pPr>
              <w:spacing w:after="0" w:line="259" w:lineRule="auto"/>
              <w:ind w:left="2" w:firstLine="0"/>
            </w:pPr>
            <w:r>
              <w:rPr>
                <w:sz w:val="20"/>
              </w:rPr>
              <w:t xml:space="preserve">Formatting updates (minor amends not requiring committee approval) </w:t>
            </w:r>
          </w:p>
        </w:tc>
        <w:tc>
          <w:tcPr>
            <w:tcW w:w="3637" w:type="dxa"/>
            <w:tcBorders>
              <w:top w:val="single" w:sz="4" w:space="0" w:color="000000"/>
              <w:left w:val="single" w:sz="4" w:space="0" w:color="000000"/>
              <w:bottom w:val="single" w:sz="4" w:space="0" w:color="000000"/>
              <w:right w:val="single" w:sz="4" w:space="0" w:color="000000"/>
            </w:tcBorders>
          </w:tcPr>
          <w:p w14:paraId="7C1BB811" w14:textId="77777777" w:rsidR="007730EC" w:rsidRDefault="007730EC" w:rsidP="009376B2">
            <w:pPr>
              <w:spacing w:after="0" w:line="259" w:lineRule="auto"/>
              <w:ind w:left="0" w:firstLine="0"/>
              <w:jc w:val="left"/>
            </w:pPr>
            <w:r>
              <w:rPr>
                <w:sz w:val="20"/>
              </w:rPr>
              <w:t xml:space="preserve">Head of Occupational Health </w:t>
            </w:r>
          </w:p>
        </w:tc>
      </w:tr>
      <w:tr w:rsidR="007730EC" w14:paraId="11E0702B" w14:textId="77777777" w:rsidTr="009376B2">
        <w:trPr>
          <w:trHeight w:val="470"/>
        </w:trPr>
        <w:tc>
          <w:tcPr>
            <w:tcW w:w="1248" w:type="dxa"/>
            <w:tcBorders>
              <w:top w:val="single" w:sz="4" w:space="0" w:color="000000"/>
              <w:left w:val="single" w:sz="4" w:space="0" w:color="000000"/>
              <w:bottom w:val="single" w:sz="4" w:space="0" w:color="000000"/>
              <w:right w:val="single" w:sz="4" w:space="0" w:color="000000"/>
            </w:tcBorders>
          </w:tcPr>
          <w:p w14:paraId="6CF14855" w14:textId="77777777" w:rsidR="007730EC" w:rsidRDefault="007730EC" w:rsidP="009376B2">
            <w:pPr>
              <w:spacing w:after="0" w:line="259" w:lineRule="auto"/>
              <w:ind w:left="3" w:firstLine="0"/>
              <w:jc w:val="left"/>
            </w:pPr>
            <w:r>
              <w:rPr>
                <w:sz w:val="20"/>
              </w:rPr>
              <w:t xml:space="preserve">V1.0 </w:t>
            </w:r>
          </w:p>
        </w:tc>
        <w:tc>
          <w:tcPr>
            <w:tcW w:w="1417" w:type="dxa"/>
            <w:tcBorders>
              <w:top w:val="single" w:sz="4" w:space="0" w:color="000000"/>
              <w:left w:val="single" w:sz="4" w:space="0" w:color="000000"/>
              <w:bottom w:val="single" w:sz="4" w:space="0" w:color="000000"/>
              <w:right w:val="single" w:sz="4" w:space="0" w:color="000000"/>
            </w:tcBorders>
          </w:tcPr>
          <w:p w14:paraId="7F70C755" w14:textId="77777777" w:rsidR="007730EC" w:rsidRDefault="007730EC" w:rsidP="009376B2">
            <w:pPr>
              <w:spacing w:after="0" w:line="259" w:lineRule="auto"/>
              <w:ind w:left="0" w:firstLine="0"/>
              <w:jc w:val="left"/>
            </w:pPr>
            <w:r>
              <w:rPr>
                <w:sz w:val="20"/>
              </w:rPr>
              <w:t xml:space="preserve">Sept 2016 </w:t>
            </w:r>
          </w:p>
        </w:tc>
        <w:tc>
          <w:tcPr>
            <w:tcW w:w="3480" w:type="dxa"/>
            <w:tcBorders>
              <w:top w:val="single" w:sz="4" w:space="0" w:color="000000"/>
              <w:left w:val="single" w:sz="4" w:space="0" w:color="000000"/>
              <w:bottom w:val="single" w:sz="4" w:space="0" w:color="000000"/>
              <w:right w:val="single" w:sz="4" w:space="0" w:color="000000"/>
            </w:tcBorders>
          </w:tcPr>
          <w:p w14:paraId="249BFBCC" w14:textId="77777777" w:rsidR="007730EC" w:rsidRDefault="007730EC" w:rsidP="009376B2">
            <w:pPr>
              <w:spacing w:after="0" w:line="259" w:lineRule="auto"/>
              <w:ind w:left="2" w:firstLine="0"/>
              <w:jc w:val="left"/>
            </w:pPr>
            <w:r>
              <w:rPr>
                <w:sz w:val="20"/>
              </w:rPr>
              <w:t xml:space="preserve">First draft of new policy </w:t>
            </w:r>
          </w:p>
        </w:tc>
        <w:tc>
          <w:tcPr>
            <w:tcW w:w="3637" w:type="dxa"/>
            <w:tcBorders>
              <w:top w:val="single" w:sz="4" w:space="0" w:color="000000"/>
              <w:left w:val="single" w:sz="4" w:space="0" w:color="000000"/>
              <w:bottom w:val="single" w:sz="4" w:space="0" w:color="000000"/>
              <w:right w:val="single" w:sz="4" w:space="0" w:color="000000"/>
            </w:tcBorders>
          </w:tcPr>
          <w:p w14:paraId="0F177497" w14:textId="77777777" w:rsidR="007730EC" w:rsidRDefault="007730EC" w:rsidP="009376B2">
            <w:pPr>
              <w:spacing w:after="0" w:line="259" w:lineRule="auto"/>
              <w:ind w:left="0" w:firstLine="0"/>
              <w:jc w:val="left"/>
            </w:pPr>
            <w:r>
              <w:rPr>
                <w:sz w:val="20"/>
              </w:rPr>
              <w:t xml:space="preserve">Head of Occupational Health </w:t>
            </w:r>
          </w:p>
        </w:tc>
      </w:tr>
    </w:tbl>
    <w:p w14:paraId="29911FF5" w14:textId="5AF03980" w:rsidR="00E90506" w:rsidRDefault="007730EC" w:rsidP="00E2476F">
      <w:pPr>
        <w:spacing w:after="0" w:line="259" w:lineRule="auto"/>
        <w:ind w:left="0" w:firstLine="0"/>
      </w:pPr>
      <w:r>
        <w:rPr>
          <w:sz w:val="22"/>
        </w:rPr>
        <w:t xml:space="preserve"> </w:t>
      </w:r>
    </w:p>
    <w:sectPr w:rsidR="00E90506" w:rsidSect="007730EC">
      <w:headerReference w:type="even" r:id="rId39"/>
      <w:headerReference w:type="default" r:id="rId40"/>
      <w:footerReference w:type="even" r:id="rId41"/>
      <w:footerReference w:type="default" r:id="rId42"/>
      <w:headerReference w:type="first" r:id="rId43"/>
      <w:footerReference w:type="first" r:id="rId44"/>
      <w:pgSz w:w="11911" w:h="16841"/>
      <w:pgMar w:top="560" w:right="1083" w:bottom="965" w:left="10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3432" w14:textId="77777777" w:rsidR="00196C5F" w:rsidRDefault="00196C5F" w:rsidP="007730EC">
      <w:pPr>
        <w:spacing w:after="0" w:line="240" w:lineRule="auto"/>
      </w:pPr>
      <w:r>
        <w:separator/>
      </w:r>
    </w:p>
  </w:endnote>
  <w:endnote w:type="continuationSeparator" w:id="0">
    <w:p w14:paraId="033DE20B" w14:textId="77777777" w:rsidR="00196C5F" w:rsidRDefault="00196C5F" w:rsidP="0077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07B6" w14:textId="77777777" w:rsidR="00804435" w:rsidRDefault="00804435">
    <w:pPr>
      <w:tabs>
        <w:tab w:val="center" w:pos="1304"/>
        <w:tab w:val="right" w:pos="9827"/>
      </w:tabs>
      <w:spacing w:after="0" w:line="259" w:lineRule="auto"/>
      <w:ind w:left="0" w:right="-9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BD51EB" wp14:editId="43FC7E5C">
              <wp:simplePos x="0" y="0"/>
              <wp:positionH relativeFrom="page">
                <wp:posOffset>719455</wp:posOffset>
              </wp:positionH>
              <wp:positionV relativeFrom="page">
                <wp:posOffset>9759314</wp:posOffset>
              </wp:positionV>
              <wp:extent cx="6280151" cy="6350"/>
              <wp:effectExtent l="0" t="0" r="0" b="0"/>
              <wp:wrapSquare wrapText="bothSides"/>
              <wp:docPr id="16251" name="Group 16251"/>
              <wp:cNvGraphicFramePr/>
              <a:graphic xmlns:a="http://schemas.openxmlformats.org/drawingml/2006/main">
                <a:graphicData uri="http://schemas.microsoft.com/office/word/2010/wordprocessingGroup">
                  <wpg:wgp>
                    <wpg:cNvGrpSpPr/>
                    <wpg:grpSpPr>
                      <a:xfrm>
                        <a:off x="0" y="0"/>
                        <a:ext cx="6280151" cy="6350"/>
                        <a:chOff x="0" y="0"/>
                        <a:chExt cx="6280151" cy="6350"/>
                      </a:xfrm>
                    </wpg:grpSpPr>
                    <wps:wsp>
                      <wps:cNvPr id="16541" name="Shape 16541"/>
                      <wps:cNvSpPr/>
                      <wps:spPr>
                        <a:xfrm>
                          <a:off x="0" y="0"/>
                          <a:ext cx="6280151" cy="9144"/>
                        </a:xfrm>
                        <a:custGeom>
                          <a:avLst/>
                          <a:gdLst/>
                          <a:ahLst/>
                          <a:cxnLst/>
                          <a:rect l="0" t="0" r="0" b="0"/>
                          <a:pathLst>
                            <a:path w="6280151" h="9144">
                              <a:moveTo>
                                <a:pt x="0" y="0"/>
                              </a:moveTo>
                              <a:lnTo>
                                <a:pt x="6280151" y="0"/>
                              </a:lnTo>
                              <a:lnTo>
                                <a:pt x="62801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3D524F" id="Group 16251" o:spid="_x0000_s1026" style="position:absolute;margin-left:56.65pt;margin-top:768.45pt;width:494.5pt;height:.5pt;z-index:251659264;mso-position-horizontal-relative:page;mso-position-vertical-relative:page" coordsize="62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">
              <v:shape id="Shape 16541" o:spid="_x0000_s1027" style="position:absolute;width:62801;height:91;visibility:visible;mso-wrap-style:square;v-text-anchor:top" coordsize="62801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" path="m,l6280151,r,9144l,9144,,e" fillcolor="black" stroked="f" strokeweight="0">
                <v:stroke miterlimit="83231f" joinstyle="miter"/>
                <v:path arrowok="t" textboxrect="0,0,6280151,9144"/>
              </v:shape>
              <w10:wrap type="square" anchorx="page" anchory="page"/>
            </v:group>
          </w:pict>
        </mc:Fallback>
      </mc:AlternateContent>
    </w:r>
    <w:r>
      <w:rPr>
        <w:sz w:val="20"/>
      </w:rPr>
      <w:t xml:space="preserve"> </w:t>
    </w:r>
    <w:r>
      <w:rPr>
        <w:sz w:val="20"/>
      </w:rPr>
      <w:tab/>
    </w:r>
    <w:r>
      <w:rPr>
        <w:sz w:val="16"/>
      </w:rPr>
      <w:t xml:space="preserve">Contamination-Incident-Policy </w:t>
    </w:r>
    <w:r>
      <w:rPr>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r>
      <w:rPr>
        <w:sz w:val="16"/>
      </w:rPr>
      <w:t xml:space="preserve">of </w:t>
    </w:r>
    <w:r>
      <w:rPr>
        <w:b/>
        <w:sz w:val="16"/>
      </w:rPr>
      <w:t xml:space="preserve">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96647"/>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397F2B8F" w14:textId="7E6BC198" w:rsidR="0096601D" w:rsidRPr="00224E36" w:rsidRDefault="0096601D">
            <w:pPr>
              <w:pStyle w:val="Footer"/>
              <w:jc w:val="right"/>
              <w:rPr>
                <w:sz w:val="16"/>
                <w:szCs w:val="16"/>
              </w:rPr>
            </w:pPr>
            <w:r w:rsidRPr="00224E36">
              <w:rPr>
                <w:sz w:val="16"/>
                <w:szCs w:val="16"/>
              </w:rPr>
              <w:t xml:space="preserve">Page </w:t>
            </w:r>
            <w:r w:rsidRPr="00224E36">
              <w:rPr>
                <w:sz w:val="16"/>
                <w:szCs w:val="16"/>
              </w:rPr>
              <w:fldChar w:fldCharType="begin"/>
            </w:r>
            <w:r w:rsidRPr="00224E36">
              <w:rPr>
                <w:sz w:val="16"/>
                <w:szCs w:val="16"/>
              </w:rPr>
              <w:instrText xml:space="preserve"> PAGE </w:instrText>
            </w:r>
            <w:r w:rsidRPr="00224E36">
              <w:rPr>
                <w:sz w:val="16"/>
                <w:szCs w:val="16"/>
              </w:rPr>
              <w:fldChar w:fldCharType="separate"/>
            </w:r>
            <w:r w:rsidRPr="00224E36">
              <w:rPr>
                <w:noProof/>
                <w:sz w:val="16"/>
                <w:szCs w:val="16"/>
              </w:rPr>
              <w:t>2</w:t>
            </w:r>
            <w:r w:rsidRPr="00224E36">
              <w:rPr>
                <w:sz w:val="16"/>
                <w:szCs w:val="16"/>
              </w:rPr>
              <w:fldChar w:fldCharType="end"/>
            </w:r>
            <w:r w:rsidRPr="00224E36">
              <w:rPr>
                <w:sz w:val="16"/>
                <w:szCs w:val="16"/>
              </w:rPr>
              <w:t xml:space="preserve"> of </w:t>
            </w:r>
            <w:r w:rsidRPr="00224E36">
              <w:rPr>
                <w:sz w:val="16"/>
                <w:szCs w:val="16"/>
              </w:rPr>
              <w:fldChar w:fldCharType="begin"/>
            </w:r>
            <w:r w:rsidRPr="00224E36">
              <w:rPr>
                <w:sz w:val="16"/>
                <w:szCs w:val="16"/>
              </w:rPr>
              <w:instrText xml:space="preserve"> NUMPAGES  </w:instrText>
            </w:r>
            <w:r w:rsidRPr="00224E36">
              <w:rPr>
                <w:sz w:val="16"/>
                <w:szCs w:val="16"/>
              </w:rPr>
              <w:fldChar w:fldCharType="separate"/>
            </w:r>
            <w:r w:rsidRPr="00224E36">
              <w:rPr>
                <w:noProof/>
                <w:sz w:val="16"/>
                <w:szCs w:val="16"/>
              </w:rPr>
              <w:t>2</w:t>
            </w:r>
            <w:r w:rsidRPr="00224E36">
              <w:rPr>
                <w:sz w:val="16"/>
                <w:szCs w:val="16"/>
              </w:rPr>
              <w:fldChar w:fldCharType="end"/>
            </w:r>
          </w:p>
        </w:sdtContent>
      </w:sdt>
    </w:sdtContent>
  </w:sdt>
  <w:p w14:paraId="48886F08" w14:textId="5FC30577" w:rsidR="00804435" w:rsidRPr="00A5037C" w:rsidRDefault="00A5037C">
    <w:pPr>
      <w:tabs>
        <w:tab w:val="center" w:pos="1304"/>
        <w:tab w:val="right" w:pos="9827"/>
      </w:tabs>
      <w:spacing w:after="0" w:line="259" w:lineRule="auto"/>
      <w:ind w:left="0" w:right="-95" w:firstLine="0"/>
      <w:jc w:val="left"/>
      <w:rPr>
        <w:sz w:val="16"/>
        <w:szCs w:val="16"/>
      </w:rPr>
    </w:pPr>
    <w:r w:rsidRPr="00A5037C">
      <w:rPr>
        <w:sz w:val="16"/>
        <w:szCs w:val="16"/>
      </w:rPr>
      <w:t xml:space="preserve">Contamination </w:t>
    </w:r>
    <w:r>
      <w:rPr>
        <w:sz w:val="16"/>
        <w:szCs w:val="16"/>
      </w:rPr>
      <w:t xml:space="preserve">Incident </w:t>
    </w:r>
    <w:r w:rsidRPr="00A5037C">
      <w:rPr>
        <w:sz w:val="16"/>
        <w:szCs w:val="16"/>
      </w:rPr>
      <w:t>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0535219"/>
      <w:docPartObj>
        <w:docPartGallery w:val="Page Numbers (Bottom of Page)"/>
        <w:docPartUnique/>
      </w:docPartObj>
    </w:sdtPr>
    <w:sdtEndPr/>
    <w:sdtContent>
      <w:sdt>
        <w:sdtPr>
          <w:rPr>
            <w:sz w:val="16"/>
            <w:szCs w:val="16"/>
          </w:rPr>
          <w:id w:val="-2090454823"/>
          <w:docPartObj>
            <w:docPartGallery w:val="Page Numbers (Top of Page)"/>
            <w:docPartUnique/>
          </w:docPartObj>
        </w:sdtPr>
        <w:sdtEndPr/>
        <w:sdtContent>
          <w:p w14:paraId="1986D138" w14:textId="75A34F79" w:rsidR="00224E36" w:rsidRPr="00224E36" w:rsidRDefault="00224E36">
            <w:pPr>
              <w:pStyle w:val="Footer"/>
              <w:jc w:val="right"/>
              <w:rPr>
                <w:sz w:val="16"/>
                <w:szCs w:val="16"/>
              </w:rPr>
            </w:pPr>
            <w:r w:rsidRPr="00224E36">
              <w:rPr>
                <w:sz w:val="16"/>
                <w:szCs w:val="16"/>
              </w:rPr>
              <w:t xml:space="preserve">Page </w:t>
            </w:r>
            <w:r w:rsidRPr="00224E36">
              <w:rPr>
                <w:sz w:val="16"/>
                <w:szCs w:val="16"/>
              </w:rPr>
              <w:fldChar w:fldCharType="begin"/>
            </w:r>
            <w:r w:rsidRPr="00224E36">
              <w:rPr>
                <w:sz w:val="16"/>
                <w:szCs w:val="16"/>
              </w:rPr>
              <w:instrText xml:space="preserve"> PAGE </w:instrText>
            </w:r>
            <w:r w:rsidRPr="00224E36">
              <w:rPr>
                <w:sz w:val="16"/>
                <w:szCs w:val="16"/>
              </w:rPr>
              <w:fldChar w:fldCharType="separate"/>
            </w:r>
            <w:r w:rsidRPr="00224E36">
              <w:rPr>
                <w:noProof/>
                <w:sz w:val="16"/>
                <w:szCs w:val="16"/>
              </w:rPr>
              <w:t>2</w:t>
            </w:r>
            <w:r w:rsidRPr="00224E36">
              <w:rPr>
                <w:sz w:val="16"/>
                <w:szCs w:val="16"/>
              </w:rPr>
              <w:fldChar w:fldCharType="end"/>
            </w:r>
            <w:r w:rsidRPr="00224E36">
              <w:rPr>
                <w:sz w:val="16"/>
                <w:szCs w:val="16"/>
              </w:rPr>
              <w:t xml:space="preserve"> of </w:t>
            </w:r>
            <w:r w:rsidRPr="00224E36">
              <w:rPr>
                <w:sz w:val="16"/>
                <w:szCs w:val="16"/>
              </w:rPr>
              <w:fldChar w:fldCharType="begin"/>
            </w:r>
            <w:r w:rsidRPr="00224E36">
              <w:rPr>
                <w:sz w:val="16"/>
                <w:szCs w:val="16"/>
              </w:rPr>
              <w:instrText xml:space="preserve"> NUMPAGES  </w:instrText>
            </w:r>
            <w:r w:rsidRPr="00224E36">
              <w:rPr>
                <w:sz w:val="16"/>
                <w:szCs w:val="16"/>
              </w:rPr>
              <w:fldChar w:fldCharType="separate"/>
            </w:r>
            <w:r w:rsidRPr="00224E36">
              <w:rPr>
                <w:noProof/>
                <w:sz w:val="16"/>
                <w:szCs w:val="16"/>
              </w:rPr>
              <w:t>2</w:t>
            </w:r>
            <w:r w:rsidRPr="00224E36">
              <w:rPr>
                <w:sz w:val="16"/>
                <w:szCs w:val="16"/>
              </w:rPr>
              <w:fldChar w:fldCharType="end"/>
            </w:r>
          </w:p>
        </w:sdtContent>
      </w:sdt>
    </w:sdtContent>
  </w:sdt>
  <w:p w14:paraId="1A5819F4" w14:textId="77777777" w:rsidR="00BE5788" w:rsidRDefault="00BE5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4B0A" w14:textId="77777777" w:rsidR="00196C5F" w:rsidRDefault="00196C5F" w:rsidP="007730EC">
      <w:pPr>
        <w:spacing w:after="0" w:line="240" w:lineRule="auto"/>
      </w:pPr>
      <w:r>
        <w:separator/>
      </w:r>
    </w:p>
  </w:footnote>
  <w:footnote w:type="continuationSeparator" w:id="0">
    <w:p w14:paraId="20580646" w14:textId="77777777" w:rsidR="00196C5F" w:rsidRDefault="00196C5F" w:rsidP="0077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9612" w14:textId="77777777" w:rsidR="00A5037C" w:rsidRDefault="00A5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B25D" w14:textId="77777777" w:rsidR="00A5037C" w:rsidRDefault="00A50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4A34" w14:textId="77777777" w:rsidR="00A5037C" w:rsidRDefault="00A50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A8B"/>
    <w:multiLevelType w:val="hybridMultilevel"/>
    <w:tmpl w:val="43FCA4D0"/>
    <w:lvl w:ilvl="0" w:tplc="406E0566">
      <w:start w:val="1"/>
      <w:numFmt w:val="lowerLetter"/>
      <w:lvlText w:val="(%1)"/>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660718">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B680BC">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389ABE">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609F40">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8ED424">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0C109A">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389190">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9278BA">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87F6B"/>
    <w:multiLevelType w:val="multilevel"/>
    <w:tmpl w:val="EEDC18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1011"/>
    <w:multiLevelType w:val="hybridMultilevel"/>
    <w:tmpl w:val="ABFA1F26"/>
    <w:lvl w:ilvl="0" w:tplc="905483AA">
      <w:start w:val="3"/>
      <w:numFmt w:val="lowerLetter"/>
      <w:lvlText w:val="%1."/>
      <w:lvlJc w:val="left"/>
      <w:pPr>
        <w:ind w:left="1913" w:hanging="360"/>
      </w:pPr>
      <w:rPr>
        <w:rFonts w:hint="default"/>
      </w:rPr>
    </w:lvl>
    <w:lvl w:ilvl="1" w:tplc="08090019" w:tentative="1">
      <w:start w:val="1"/>
      <w:numFmt w:val="lowerLetter"/>
      <w:lvlText w:val="%2."/>
      <w:lvlJc w:val="left"/>
      <w:pPr>
        <w:ind w:left="2633" w:hanging="360"/>
      </w:pPr>
    </w:lvl>
    <w:lvl w:ilvl="2" w:tplc="0809001B" w:tentative="1">
      <w:start w:val="1"/>
      <w:numFmt w:val="lowerRoman"/>
      <w:lvlText w:val="%3."/>
      <w:lvlJc w:val="right"/>
      <w:pPr>
        <w:ind w:left="3353" w:hanging="180"/>
      </w:pPr>
    </w:lvl>
    <w:lvl w:ilvl="3" w:tplc="0809000F" w:tentative="1">
      <w:start w:val="1"/>
      <w:numFmt w:val="decimal"/>
      <w:lvlText w:val="%4."/>
      <w:lvlJc w:val="left"/>
      <w:pPr>
        <w:ind w:left="4073" w:hanging="360"/>
      </w:pPr>
    </w:lvl>
    <w:lvl w:ilvl="4" w:tplc="08090019" w:tentative="1">
      <w:start w:val="1"/>
      <w:numFmt w:val="lowerLetter"/>
      <w:lvlText w:val="%5."/>
      <w:lvlJc w:val="left"/>
      <w:pPr>
        <w:ind w:left="4793" w:hanging="360"/>
      </w:pPr>
    </w:lvl>
    <w:lvl w:ilvl="5" w:tplc="0809001B" w:tentative="1">
      <w:start w:val="1"/>
      <w:numFmt w:val="lowerRoman"/>
      <w:lvlText w:val="%6."/>
      <w:lvlJc w:val="right"/>
      <w:pPr>
        <w:ind w:left="5513" w:hanging="180"/>
      </w:pPr>
    </w:lvl>
    <w:lvl w:ilvl="6" w:tplc="0809000F" w:tentative="1">
      <w:start w:val="1"/>
      <w:numFmt w:val="decimal"/>
      <w:lvlText w:val="%7."/>
      <w:lvlJc w:val="left"/>
      <w:pPr>
        <w:ind w:left="6233" w:hanging="360"/>
      </w:pPr>
    </w:lvl>
    <w:lvl w:ilvl="7" w:tplc="08090019" w:tentative="1">
      <w:start w:val="1"/>
      <w:numFmt w:val="lowerLetter"/>
      <w:lvlText w:val="%8."/>
      <w:lvlJc w:val="left"/>
      <w:pPr>
        <w:ind w:left="6953" w:hanging="360"/>
      </w:pPr>
    </w:lvl>
    <w:lvl w:ilvl="8" w:tplc="0809001B" w:tentative="1">
      <w:start w:val="1"/>
      <w:numFmt w:val="lowerRoman"/>
      <w:lvlText w:val="%9."/>
      <w:lvlJc w:val="right"/>
      <w:pPr>
        <w:ind w:left="7673" w:hanging="180"/>
      </w:pPr>
    </w:lvl>
  </w:abstractNum>
  <w:abstractNum w:abstractNumId="3" w15:restartNumberingAfterBreak="0">
    <w:nsid w:val="1B1A7CB5"/>
    <w:multiLevelType w:val="hybridMultilevel"/>
    <w:tmpl w:val="1AFA4FDC"/>
    <w:lvl w:ilvl="0" w:tplc="11204D1C">
      <w:start w:val="1"/>
      <w:numFmt w:val="lowerLetter"/>
      <w:lvlText w:val="(%1)"/>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EE852">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5A5042">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EAF052">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80CE8">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F47DA4">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A84644">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0426">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7A0006">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346FE1"/>
    <w:multiLevelType w:val="hybridMultilevel"/>
    <w:tmpl w:val="B790828C"/>
    <w:lvl w:ilvl="0" w:tplc="CD32B2B8">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E633C8">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7475BE">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8F1AE">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945EF6">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3497C4">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0E7E02">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65696">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2A662A">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5D7C0C"/>
    <w:multiLevelType w:val="hybridMultilevel"/>
    <w:tmpl w:val="74C2ABEE"/>
    <w:lvl w:ilvl="0" w:tplc="76DC38C2">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2E3A8">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E6EE7E">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5228DE">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903208">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784B98">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30DD50">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5E343C">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C4414C">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AB77E0"/>
    <w:multiLevelType w:val="hybridMultilevel"/>
    <w:tmpl w:val="49BC0CFC"/>
    <w:lvl w:ilvl="0" w:tplc="6F86C576">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4099BA">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9A1D78">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B4E652">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807056">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82EBDC">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C450EE">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A7CD2">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B48368">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AE48B9"/>
    <w:multiLevelType w:val="hybridMultilevel"/>
    <w:tmpl w:val="2856E4BA"/>
    <w:lvl w:ilvl="0" w:tplc="42400D36">
      <w:start w:val="1"/>
      <w:numFmt w:val="decimal"/>
      <w:lvlText w:val="%1."/>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303C74">
      <w:start w:val="1"/>
      <w:numFmt w:val="lowerLetter"/>
      <w:lvlText w:val="%2"/>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D28FFC">
      <w:start w:val="1"/>
      <w:numFmt w:val="lowerRoman"/>
      <w:lvlText w:val="%3"/>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A87BC">
      <w:start w:val="1"/>
      <w:numFmt w:val="decimal"/>
      <w:lvlText w:val="%4"/>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6F976">
      <w:start w:val="1"/>
      <w:numFmt w:val="lowerLetter"/>
      <w:lvlText w:val="%5"/>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881FFA">
      <w:start w:val="1"/>
      <w:numFmt w:val="lowerRoman"/>
      <w:lvlText w:val="%6"/>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A8B56A">
      <w:start w:val="1"/>
      <w:numFmt w:val="decimal"/>
      <w:lvlText w:val="%7"/>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8299E">
      <w:start w:val="1"/>
      <w:numFmt w:val="lowerLetter"/>
      <w:lvlText w:val="%8"/>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6CA9EC">
      <w:start w:val="1"/>
      <w:numFmt w:val="lowerRoman"/>
      <w:lvlText w:val="%9"/>
      <w:lvlJc w:val="left"/>
      <w:pPr>
        <w:ind w:left="7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C37238"/>
    <w:multiLevelType w:val="hybridMultilevel"/>
    <w:tmpl w:val="40486F7A"/>
    <w:lvl w:ilvl="0" w:tplc="F5FA0436">
      <w:start w:val="1"/>
      <w:numFmt w:val="lowerLetter"/>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CF26A">
      <w:start w:val="1"/>
      <w:numFmt w:val="lowerLetter"/>
      <w:lvlText w:val="%2"/>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72AA76">
      <w:start w:val="1"/>
      <w:numFmt w:val="lowerRoman"/>
      <w:lvlText w:val="%3"/>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DC9522">
      <w:start w:val="1"/>
      <w:numFmt w:val="decimal"/>
      <w:lvlText w:val="%4"/>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A2DFE4">
      <w:start w:val="1"/>
      <w:numFmt w:val="lowerLetter"/>
      <w:lvlText w:val="%5"/>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FA4CCE">
      <w:start w:val="1"/>
      <w:numFmt w:val="lowerRoman"/>
      <w:lvlText w:val="%6"/>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6EAD50">
      <w:start w:val="1"/>
      <w:numFmt w:val="decimal"/>
      <w:lvlText w:val="%7"/>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66928">
      <w:start w:val="1"/>
      <w:numFmt w:val="lowerLetter"/>
      <w:lvlText w:val="%8"/>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B6853E">
      <w:start w:val="1"/>
      <w:numFmt w:val="lowerRoman"/>
      <w:lvlText w:val="%9"/>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2034A0"/>
    <w:multiLevelType w:val="hybridMultilevel"/>
    <w:tmpl w:val="431E4384"/>
    <w:lvl w:ilvl="0" w:tplc="7D48AF14">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00ECD4">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CACE8E">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4AD146">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D2F454">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38ADC6">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0CC82E">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82A9C0">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60C2CC">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E6068A"/>
    <w:multiLevelType w:val="hybridMultilevel"/>
    <w:tmpl w:val="03286DFC"/>
    <w:lvl w:ilvl="0" w:tplc="F98E6D28">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4B64A">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48E6FC">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8C1E8A">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0A95E">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563E3E">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A28B0E">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26978C">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85264">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FD0646"/>
    <w:multiLevelType w:val="hybridMultilevel"/>
    <w:tmpl w:val="99DC0D2A"/>
    <w:lvl w:ilvl="0" w:tplc="403E199C">
      <w:start w:val="1"/>
      <w:numFmt w:val="lowerLetter"/>
      <w:lvlText w:val="(%1)"/>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4424AC">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2069E4">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E0136C">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AF4AE">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839E4">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2402CE">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AB2A6">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3EAE38">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271DF8"/>
    <w:multiLevelType w:val="multilevel"/>
    <w:tmpl w:val="B1D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DE127E"/>
    <w:multiLevelType w:val="hybridMultilevel"/>
    <w:tmpl w:val="88C801FA"/>
    <w:lvl w:ilvl="0" w:tplc="B20ABA52">
      <w:start w:val="1"/>
      <w:numFmt w:val="lowerLetter"/>
      <w:lvlText w:val="(%1)"/>
      <w:lvlJc w:val="left"/>
      <w:pPr>
        <w:ind w:left="1912" w:hanging="360"/>
      </w:pPr>
      <w:rPr>
        <w:rFonts w:hint="default"/>
      </w:rPr>
    </w:lvl>
    <w:lvl w:ilvl="1" w:tplc="08090019" w:tentative="1">
      <w:start w:val="1"/>
      <w:numFmt w:val="lowerLetter"/>
      <w:lvlText w:val="%2."/>
      <w:lvlJc w:val="left"/>
      <w:pPr>
        <w:ind w:left="2632" w:hanging="360"/>
      </w:pPr>
    </w:lvl>
    <w:lvl w:ilvl="2" w:tplc="0809001B" w:tentative="1">
      <w:start w:val="1"/>
      <w:numFmt w:val="lowerRoman"/>
      <w:lvlText w:val="%3."/>
      <w:lvlJc w:val="right"/>
      <w:pPr>
        <w:ind w:left="3352" w:hanging="180"/>
      </w:pPr>
    </w:lvl>
    <w:lvl w:ilvl="3" w:tplc="0809000F" w:tentative="1">
      <w:start w:val="1"/>
      <w:numFmt w:val="decimal"/>
      <w:lvlText w:val="%4."/>
      <w:lvlJc w:val="left"/>
      <w:pPr>
        <w:ind w:left="4072" w:hanging="360"/>
      </w:pPr>
    </w:lvl>
    <w:lvl w:ilvl="4" w:tplc="08090019" w:tentative="1">
      <w:start w:val="1"/>
      <w:numFmt w:val="lowerLetter"/>
      <w:lvlText w:val="%5."/>
      <w:lvlJc w:val="left"/>
      <w:pPr>
        <w:ind w:left="4792" w:hanging="360"/>
      </w:pPr>
    </w:lvl>
    <w:lvl w:ilvl="5" w:tplc="0809001B" w:tentative="1">
      <w:start w:val="1"/>
      <w:numFmt w:val="lowerRoman"/>
      <w:lvlText w:val="%6."/>
      <w:lvlJc w:val="right"/>
      <w:pPr>
        <w:ind w:left="5512" w:hanging="180"/>
      </w:pPr>
    </w:lvl>
    <w:lvl w:ilvl="6" w:tplc="0809000F" w:tentative="1">
      <w:start w:val="1"/>
      <w:numFmt w:val="decimal"/>
      <w:lvlText w:val="%7."/>
      <w:lvlJc w:val="left"/>
      <w:pPr>
        <w:ind w:left="6232" w:hanging="360"/>
      </w:pPr>
    </w:lvl>
    <w:lvl w:ilvl="7" w:tplc="08090019" w:tentative="1">
      <w:start w:val="1"/>
      <w:numFmt w:val="lowerLetter"/>
      <w:lvlText w:val="%8."/>
      <w:lvlJc w:val="left"/>
      <w:pPr>
        <w:ind w:left="6952" w:hanging="360"/>
      </w:pPr>
    </w:lvl>
    <w:lvl w:ilvl="8" w:tplc="0809001B" w:tentative="1">
      <w:start w:val="1"/>
      <w:numFmt w:val="lowerRoman"/>
      <w:lvlText w:val="%9."/>
      <w:lvlJc w:val="right"/>
      <w:pPr>
        <w:ind w:left="7672" w:hanging="180"/>
      </w:pPr>
    </w:lvl>
  </w:abstractNum>
  <w:abstractNum w:abstractNumId="14" w15:restartNumberingAfterBreak="0">
    <w:nsid w:val="5BEC2D42"/>
    <w:multiLevelType w:val="hybridMultilevel"/>
    <w:tmpl w:val="027A7E48"/>
    <w:lvl w:ilvl="0" w:tplc="EFBC91D0">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4D9CE">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0ABEEE">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968768">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CB4CC">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AAFACA">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6014D2">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3694DA">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84DB28">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2D4CD7"/>
    <w:multiLevelType w:val="multilevel"/>
    <w:tmpl w:val="335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E100C6"/>
    <w:multiLevelType w:val="hybridMultilevel"/>
    <w:tmpl w:val="912E2F18"/>
    <w:lvl w:ilvl="0" w:tplc="15F01754">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C72C2">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A24676">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8C1CD6">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AAC1C0">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6C7020">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789468">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C8CF9A">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921636">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A6D003E"/>
    <w:multiLevelType w:val="hybridMultilevel"/>
    <w:tmpl w:val="0FC2F156"/>
    <w:lvl w:ilvl="0" w:tplc="29BA3556">
      <w:start w:val="1"/>
      <w:numFmt w:val="lowerLetter"/>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F6154A">
      <w:start w:val="1"/>
      <w:numFmt w:val="lowerLetter"/>
      <w:lvlText w:val="%2"/>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022ED6">
      <w:start w:val="1"/>
      <w:numFmt w:val="lowerRoman"/>
      <w:lvlText w:val="%3"/>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7461F4">
      <w:start w:val="1"/>
      <w:numFmt w:val="decimal"/>
      <w:lvlText w:val="%4"/>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42D52">
      <w:start w:val="1"/>
      <w:numFmt w:val="lowerLetter"/>
      <w:lvlText w:val="%5"/>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D29630">
      <w:start w:val="1"/>
      <w:numFmt w:val="lowerRoman"/>
      <w:lvlText w:val="%6"/>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8EB640">
      <w:start w:val="1"/>
      <w:numFmt w:val="decimal"/>
      <w:lvlText w:val="%7"/>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8C58E8">
      <w:start w:val="1"/>
      <w:numFmt w:val="lowerLetter"/>
      <w:lvlText w:val="%8"/>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50CF22">
      <w:start w:val="1"/>
      <w:numFmt w:val="lowerRoman"/>
      <w:lvlText w:val="%9"/>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4667069">
    <w:abstractNumId w:val="8"/>
  </w:num>
  <w:num w:numId="2" w16cid:durableId="1519470408">
    <w:abstractNumId w:val="11"/>
  </w:num>
  <w:num w:numId="3" w16cid:durableId="1486774140">
    <w:abstractNumId w:val="9"/>
  </w:num>
  <w:num w:numId="4" w16cid:durableId="2063750129">
    <w:abstractNumId w:val="14"/>
  </w:num>
  <w:num w:numId="5" w16cid:durableId="316038666">
    <w:abstractNumId w:val="10"/>
  </w:num>
  <w:num w:numId="6" w16cid:durableId="1302885947">
    <w:abstractNumId w:val="4"/>
  </w:num>
  <w:num w:numId="7" w16cid:durableId="544633832">
    <w:abstractNumId w:val="5"/>
  </w:num>
  <w:num w:numId="8" w16cid:durableId="2107145318">
    <w:abstractNumId w:val="16"/>
  </w:num>
  <w:num w:numId="9" w16cid:durableId="1420714949">
    <w:abstractNumId w:val="3"/>
  </w:num>
  <w:num w:numId="10" w16cid:durableId="701320010">
    <w:abstractNumId w:val="0"/>
  </w:num>
  <w:num w:numId="11" w16cid:durableId="892235551">
    <w:abstractNumId w:val="1"/>
  </w:num>
  <w:num w:numId="12" w16cid:durableId="2103061392">
    <w:abstractNumId w:val="6"/>
  </w:num>
  <w:num w:numId="13" w16cid:durableId="1584604283">
    <w:abstractNumId w:val="17"/>
  </w:num>
  <w:num w:numId="14" w16cid:durableId="1364360826">
    <w:abstractNumId w:val="7"/>
  </w:num>
  <w:num w:numId="15" w16cid:durableId="1452244689">
    <w:abstractNumId w:val="12"/>
  </w:num>
  <w:num w:numId="16" w16cid:durableId="1289703610">
    <w:abstractNumId w:val="15"/>
  </w:num>
  <w:num w:numId="17" w16cid:durableId="1130127001">
    <w:abstractNumId w:val="13"/>
  </w:num>
  <w:num w:numId="18" w16cid:durableId="179366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EC"/>
    <w:rsid w:val="00072F26"/>
    <w:rsid w:val="000C52EC"/>
    <w:rsid w:val="000F7555"/>
    <w:rsid w:val="00196C5F"/>
    <w:rsid w:val="001F53CD"/>
    <w:rsid w:val="00224E36"/>
    <w:rsid w:val="00253E4B"/>
    <w:rsid w:val="002723DF"/>
    <w:rsid w:val="00350F5F"/>
    <w:rsid w:val="00406A2B"/>
    <w:rsid w:val="00472842"/>
    <w:rsid w:val="004A29E9"/>
    <w:rsid w:val="00511DCD"/>
    <w:rsid w:val="00512353"/>
    <w:rsid w:val="00524E22"/>
    <w:rsid w:val="005F6B19"/>
    <w:rsid w:val="00600EE9"/>
    <w:rsid w:val="00667C6C"/>
    <w:rsid w:val="007730EC"/>
    <w:rsid w:val="00804435"/>
    <w:rsid w:val="00823F71"/>
    <w:rsid w:val="0096601D"/>
    <w:rsid w:val="009B4649"/>
    <w:rsid w:val="00A1117D"/>
    <w:rsid w:val="00A5037C"/>
    <w:rsid w:val="00A60E8B"/>
    <w:rsid w:val="00B8698A"/>
    <w:rsid w:val="00BE5788"/>
    <w:rsid w:val="00C7686D"/>
    <w:rsid w:val="00CE1506"/>
    <w:rsid w:val="00D45F41"/>
    <w:rsid w:val="00E2476F"/>
    <w:rsid w:val="00E50F71"/>
    <w:rsid w:val="00E81BA4"/>
    <w:rsid w:val="00E8556A"/>
    <w:rsid w:val="00E90506"/>
    <w:rsid w:val="00EE3536"/>
    <w:rsid w:val="00F16B7A"/>
    <w:rsid w:val="00F9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FBF7"/>
  <w15:chartTrackingRefBased/>
  <w15:docId w15:val="{A865F182-E555-45F8-A275-1243EB47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EC"/>
    <w:pPr>
      <w:spacing w:after="9" w:line="271" w:lineRule="auto"/>
      <w:ind w:left="210" w:hanging="10"/>
      <w:jc w:val="both"/>
    </w:pPr>
    <w:rPr>
      <w:rFonts w:ascii="Arial" w:eastAsia="Arial" w:hAnsi="Arial" w:cs="Arial"/>
      <w:color w:val="000000"/>
      <w:lang w:eastAsia="en-GB"/>
    </w:rPr>
  </w:style>
  <w:style w:type="paragraph" w:styleId="Heading1">
    <w:name w:val="heading 1"/>
    <w:basedOn w:val="Normal"/>
    <w:next w:val="Normal"/>
    <w:link w:val="Heading1Char"/>
    <w:uiPriority w:val="9"/>
    <w:qFormat/>
    <w:rsid w:val="00773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0EC"/>
    <w:rPr>
      <w:rFonts w:eastAsiaTheme="majorEastAsia" w:cstheme="majorBidi"/>
      <w:color w:val="272727" w:themeColor="text1" w:themeTint="D8"/>
    </w:rPr>
  </w:style>
  <w:style w:type="paragraph" w:styleId="Title">
    <w:name w:val="Title"/>
    <w:basedOn w:val="Normal"/>
    <w:next w:val="Normal"/>
    <w:link w:val="TitleChar"/>
    <w:uiPriority w:val="10"/>
    <w:qFormat/>
    <w:rsid w:val="00773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0EC"/>
    <w:pPr>
      <w:numPr>
        <w:ilvl w:val="1"/>
      </w:numPr>
      <w:ind w:left="2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0EC"/>
    <w:pPr>
      <w:spacing w:before="160"/>
      <w:jc w:val="center"/>
    </w:pPr>
    <w:rPr>
      <w:i/>
      <w:iCs/>
      <w:color w:val="404040" w:themeColor="text1" w:themeTint="BF"/>
    </w:rPr>
  </w:style>
  <w:style w:type="character" w:customStyle="1" w:styleId="QuoteChar">
    <w:name w:val="Quote Char"/>
    <w:basedOn w:val="DefaultParagraphFont"/>
    <w:link w:val="Quote"/>
    <w:uiPriority w:val="29"/>
    <w:rsid w:val="007730EC"/>
    <w:rPr>
      <w:i/>
      <w:iCs/>
      <w:color w:val="404040" w:themeColor="text1" w:themeTint="BF"/>
    </w:rPr>
  </w:style>
  <w:style w:type="paragraph" w:styleId="ListParagraph">
    <w:name w:val="List Paragraph"/>
    <w:basedOn w:val="Normal"/>
    <w:uiPriority w:val="34"/>
    <w:qFormat/>
    <w:rsid w:val="007730EC"/>
    <w:pPr>
      <w:ind w:left="720"/>
      <w:contextualSpacing/>
    </w:pPr>
  </w:style>
  <w:style w:type="character" w:styleId="IntenseEmphasis">
    <w:name w:val="Intense Emphasis"/>
    <w:basedOn w:val="DefaultParagraphFont"/>
    <w:uiPriority w:val="21"/>
    <w:qFormat/>
    <w:rsid w:val="007730EC"/>
    <w:rPr>
      <w:i/>
      <w:iCs/>
      <w:color w:val="0F4761" w:themeColor="accent1" w:themeShade="BF"/>
    </w:rPr>
  </w:style>
  <w:style w:type="paragraph" w:styleId="IntenseQuote">
    <w:name w:val="Intense Quote"/>
    <w:basedOn w:val="Normal"/>
    <w:next w:val="Normal"/>
    <w:link w:val="IntenseQuoteChar"/>
    <w:uiPriority w:val="30"/>
    <w:qFormat/>
    <w:rsid w:val="00773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0EC"/>
    <w:rPr>
      <w:i/>
      <w:iCs/>
      <w:color w:val="0F4761" w:themeColor="accent1" w:themeShade="BF"/>
    </w:rPr>
  </w:style>
  <w:style w:type="character" w:styleId="IntenseReference">
    <w:name w:val="Intense Reference"/>
    <w:basedOn w:val="DefaultParagraphFont"/>
    <w:uiPriority w:val="32"/>
    <w:qFormat/>
    <w:rsid w:val="007730EC"/>
    <w:rPr>
      <w:b/>
      <w:bCs/>
      <w:smallCaps/>
      <w:color w:val="0F4761" w:themeColor="accent1" w:themeShade="BF"/>
      <w:spacing w:val="5"/>
    </w:rPr>
  </w:style>
  <w:style w:type="table" w:customStyle="1" w:styleId="TableGrid">
    <w:name w:val="TableGrid"/>
    <w:rsid w:val="007730EC"/>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7730EC"/>
    <w:rPr>
      <w:color w:val="467886" w:themeColor="hyperlink"/>
      <w:u w:val="single"/>
    </w:rPr>
  </w:style>
  <w:style w:type="paragraph" w:styleId="Header">
    <w:name w:val="header"/>
    <w:basedOn w:val="Normal"/>
    <w:link w:val="HeaderChar"/>
    <w:uiPriority w:val="99"/>
    <w:unhideWhenUsed/>
    <w:rsid w:val="00773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0EC"/>
    <w:rPr>
      <w:rFonts w:ascii="Arial" w:eastAsia="Arial" w:hAnsi="Arial" w:cs="Arial"/>
      <w:color w:val="000000"/>
      <w:lang w:eastAsia="en-GB"/>
    </w:rPr>
  </w:style>
  <w:style w:type="character" w:styleId="PlaceholderText">
    <w:name w:val="Placeholder Text"/>
    <w:basedOn w:val="DefaultParagraphFont"/>
    <w:uiPriority w:val="99"/>
    <w:semiHidden/>
    <w:rsid w:val="00B8698A"/>
    <w:rPr>
      <w:color w:val="666666"/>
    </w:rPr>
  </w:style>
  <w:style w:type="paragraph" w:styleId="Footer">
    <w:name w:val="footer"/>
    <w:basedOn w:val="Normal"/>
    <w:link w:val="FooterChar"/>
    <w:uiPriority w:val="99"/>
    <w:unhideWhenUsed/>
    <w:rsid w:val="00B86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98A"/>
    <w:rPr>
      <w:rFonts w:ascii="Arial" w:eastAsia="Arial" w:hAnsi="Arial" w:cs="Arial"/>
      <w:color w:val="000000"/>
      <w:lang w:eastAsia="en-GB"/>
    </w:rPr>
  </w:style>
  <w:style w:type="character" w:styleId="UnresolvedMention">
    <w:name w:val="Unresolved Mention"/>
    <w:basedOn w:val="DefaultParagraphFont"/>
    <w:uiPriority w:val="99"/>
    <w:semiHidden/>
    <w:unhideWhenUsed/>
    <w:rsid w:val="000C52EC"/>
    <w:rPr>
      <w:color w:val="605E5C"/>
      <w:shd w:val="clear" w:color="auto" w:fill="E1DFDD"/>
    </w:rPr>
  </w:style>
  <w:style w:type="paragraph" w:styleId="NormalWeb">
    <w:name w:val="Normal (Web)"/>
    <w:basedOn w:val="Normal"/>
    <w:uiPriority w:val="99"/>
    <w:unhideWhenUsed/>
    <w:rsid w:val="00667C6C"/>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355948">
      <w:bodyDiv w:val="1"/>
      <w:marLeft w:val="0"/>
      <w:marRight w:val="0"/>
      <w:marTop w:val="0"/>
      <w:marBottom w:val="0"/>
      <w:divBdr>
        <w:top w:val="none" w:sz="0" w:space="0" w:color="auto"/>
        <w:left w:val="none" w:sz="0" w:space="0" w:color="auto"/>
        <w:bottom w:val="none" w:sz="0" w:space="0" w:color="auto"/>
        <w:right w:val="none" w:sz="0" w:space="0" w:color="auto"/>
      </w:divBdr>
    </w:div>
    <w:div w:id="1243761089">
      <w:bodyDiv w:val="1"/>
      <w:marLeft w:val="0"/>
      <w:marRight w:val="0"/>
      <w:marTop w:val="0"/>
      <w:marBottom w:val="0"/>
      <w:divBdr>
        <w:top w:val="none" w:sz="0" w:space="0" w:color="auto"/>
        <w:left w:val="none" w:sz="0" w:space="0" w:color="auto"/>
        <w:bottom w:val="none" w:sz="0" w:space="0" w:color="auto"/>
        <w:right w:val="none" w:sz="0" w:space="0" w:color="auto"/>
      </w:divBdr>
    </w:div>
    <w:div w:id="1379209032">
      <w:bodyDiv w:val="1"/>
      <w:marLeft w:val="0"/>
      <w:marRight w:val="0"/>
      <w:marTop w:val="0"/>
      <w:marBottom w:val="0"/>
      <w:divBdr>
        <w:top w:val="none" w:sz="0" w:space="0" w:color="auto"/>
        <w:left w:val="none" w:sz="0" w:space="0" w:color="auto"/>
        <w:bottom w:val="none" w:sz="0" w:space="0" w:color="auto"/>
        <w:right w:val="none" w:sz="0" w:space="0" w:color="auto"/>
      </w:divBdr>
    </w:div>
    <w:div w:id="1862939761">
      <w:bodyDiv w:val="1"/>
      <w:marLeft w:val="0"/>
      <w:marRight w:val="0"/>
      <w:marTop w:val="0"/>
      <w:marBottom w:val="0"/>
      <w:divBdr>
        <w:top w:val="none" w:sz="0" w:space="0" w:color="auto"/>
        <w:left w:val="none" w:sz="0" w:space="0" w:color="auto"/>
        <w:bottom w:val="none" w:sz="0" w:space="0" w:color="auto"/>
        <w:right w:val="none" w:sz="0" w:space="0" w:color="auto"/>
      </w:divBdr>
    </w:div>
    <w:div w:id="2015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hud.ac.uk/healthandsafety/incidentreporting/" TargetMode="External"/><Relationship Id="rId18" Type="http://schemas.openxmlformats.org/officeDocument/2006/relationships/hyperlink" Target="https://staff.hud.ac.uk/healthandsafety/incidentreporting/" TargetMode="External"/><Relationship Id="rId26" Type="http://schemas.openxmlformats.org/officeDocument/2006/relationships/hyperlink" Target="http://www.hud.ac.uk/media/policydocuments/Contamination-" TargetMode="External"/><Relationship Id="rId39" Type="http://schemas.openxmlformats.org/officeDocument/2006/relationships/header" Target="header1.xml"/><Relationship Id="rId21" Type="http://schemas.openxmlformats.org/officeDocument/2006/relationships/hyperlink" Target="https://bhiva.org/clinical-guideline/pep-guidelines" TargetMode="External"/><Relationship Id="rId34" Type="http://schemas.openxmlformats.org/officeDocument/2006/relationships/hyperlink" Target="https://www.hud.ac.uk/media/policydocuments/Health-and-Safety-Policy.pdf"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hasims.hud.ac.uk/" TargetMode="External"/><Relationship Id="rId29" Type="http://schemas.openxmlformats.org/officeDocument/2006/relationships/hyperlink" Target="https://www.hud.ac.uk/media/policydocuments/Health-and-Safety-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immunisation-against-infectious-disease-the-green-book" TargetMode="External"/><Relationship Id="rId24" Type="http://schemas.openxmlformats.org/officeDocument/2006/relationships/hyperlink" Target="http://webarchive.nationalarchives.gov.uk/20140305125031/http:/www.hpa.org.uk/webc/HPAwebFile/HPAweb_C/1194947393443" TargetMode="External"/><Relationship Id="rId32" Type="http://schemas.openxmlformats.org/officeDocument/2006/relationships/hyperlink" Target="https://www.hud.ac.uk/media/policydocuments/Health-and-Safety-Policy.pdf" TargetMode="External"/><Relationship Id="rId37" Type="http://schemas.openxmlformats.org/officeDocument/2006/relationships/hyperlink" Target="https://staff.hud.ac.uk/oh/polici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aff.hud.ac.uk/healthandsafety/incidentreporting/" TargetMode="Externa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hud.ac.uk/media/policydocuments/Health-and-Safety-Policy.pdf" TargetMode="External"/><Relationship Id="rId36" Type="http://schemas.openxmlformats.org/officeDocument/2006/relationships/hyperlink" Target="https://staff.hud.ac.uk/oh/policies/" TargetMode="External"/><Relationship Id="rId10" Type="http://schemas.openxmlformats.org/officeDocument/2006/relationships/image" Target="media/image1.jpg"/><Relationship Id="rId19" Type="http://schemas.openxmlformats.org/officeDocument/2006/relationships/hyperlink" Target="https://hasims.hud.ac.uk/" TargetMode="External"/><Relationship Id="rId31" Type="http://schemas.openxmlformats.org/officeDocument/2006/relationships/hyperlink" Target="https://www.hud.ac.uk/media/policydocuments/Health-and-Safety-Policy.pdf"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asims.hud.ac.uk/" TargetMode="External"/><Relationship Id="rId22" Type="http://schemas.openxmlformats.org/officeDocument/2006/relationships/hyperlink" Target="https://www.gov.uk/government/collections/hepatitis-b-guidance-data-and-analysis" TargetMode="External"/><Relationship Id="rId27" Type="http://schemas.openxmlformats.org/officeDocument/2006/relationships/hyperlink" Target="http://www.hud.ac.uk/media/policydocuments/Contamination-" TargetMode="External"/><Relationship Id="rId30" Type="http://schemas.openxmlformats.org/officeDocument/2006/relationships/hyperlink" Target="https://www.hud.ac.uk/media/policydocuments/Health-and-Safety-Policy.pdf" TargetMode="External"/><Relationship Id="rId35" Type="http://schemas.openxmlformats.org/officeDocument/2006/relationships/hyperlink" Target="https://www.hud.ac.uk/media/policydocuments/Health-and-Safety-Policy.pdf"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hasims.hud.ac.uk/" TargetMode="External"/><Relationship Id="rId17" Type="http://schemas.openxmlformats.org/officeDocument/2006/relationships/hyperlink" Target="https://hasims.hud.ac.uk/" TargetMode="External"/><Relationship Id="rId25" Type="http://schemas.openxmlformats.org/officeDocument/2006/relationships/hyperlink" Target="https://www.gov.uk/government/groups/uk-advisory-panel-for-healthcare-workers-infected-with-bloodborne-viruses" TargetMode="External"/><Relationship Id="rId33" Type="http://schemas.openxmlformats.org/officeDocument/2006/relationships/hyperlink" Target="https://www.hud.ac.uk/media/policydocuments/Health-and-Safety-Policy.pdf" TargetMode="External"/><Relationship Id="rId38" Type="http://schemas.openxmlformats.org/officeDocument/2006/relationships/hyperlink" Target="https://staff.hud.ac.uk/oh/policies/" TargetMode="External"/><Relationship Id="rId46" Type="http://schemas.openxmlformats.org/officeDocument/2006/relationships/theme" Target="theme/theme1.xml"/><Relationship Id="rId20" Type="http://schemas.openxmlformats.org/officeDocument/2006/relationships/hyperlink" Target="https://www.gov.uk/government/collections/hiv-surveillance-data-and-managemen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063526-3966-48b3-8a33-11d2c7017ea3">
      <Terms xmlns="http://schemas.microsoft.com/office/infopath/2007/PartnerControls"/>
    </lcf76f155ced4ddcb4097134ff3c332f>
    <TaxCatchAll xmlns="b0988100-79f4-4bba-8323-5508f0a1a3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CB7E2C682464F9FC014B6BA17B51C" ma:contentTypeVersion="14" ma:contentTypeDescription="Create a new document." ma:contentTypeScope="" ma:versionID="83ff0012e4d4c59af8b61fff9d432497">
  <xsd:schema xmlns:xsd="http://www.w3.org/2001/XMLSchema" xmlns:xs="http://www.w3.org/2001/XMLSchema" xmlns:p="http://schemas.microsoft.com/office/2006/metadata/properties" xmlns:ns2="23063526-3966-48b3-8a33-11d2c7017ea3" xmlns:ns3="b0988100-79f4-4bba-8323-5508f0a1a32b" targetNamespace="http://schemas.microsoft.com/office/2006/metadata/properties" ma:root="true" ma:fieldsID="7a4041b41b91b8ee74d01f2952e79b86" ns2:_="" ns3:_="">
    <xsd:import namespace="23063526-3966-48b3-8a33-11d2c7017ea3"/>
    <xsd:import namespace="b0988100-79f4-4bba-8323-5508f0a1a3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3526-3966-48b3-8a33-11d2c7017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88100-79f4-4bba-8323-5508f0a1a3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4f1a06-465f-4c61-8e0e-0a920edf429d}" ma:internalName="TaxCatchAll" ma:showField="CatchAllData" ma:web="b0988100-79f4-4bba-8323-5508f0a1a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AC701-0806-4660-8D32-E104CC634DC2}">
  <ds:schemaRefs>
    <ds:schemaRef ds:uri="http://schemas.microsoft.com/sharepoint/v3/contenttype/forms"/>
  </ds:schemaRefs>
</ds:datastoreItem>
</file>

<file path=customXml/itemProps2.xml><?xml version="1.0" encoding="utf-8"?>
<ds:datastoreItem xmlns:ds="http://schemas.openxmlformats.org/officeDocument/2006/customXml" ds:itemID="{0A3E7A2A-2739-44FC-9753-A7EBF80F4A86}">
  <ds:schemaRefs>
    <ds:schemaRef ds:uri="http://schemas.microsoft.com/office/2006/metadata/properties"/>
    <ds:schemaRef ds:uri="http://schemas.microsoft.com/office/infopath/2007/PartnerControls"/>
    <ds:schemaRef ds:uri="23063526-3966-48b3-8a33-11d2c7017ea3"/>
    <ds:schemaRef ds:uri="b0988100-79f4-4bba-8323-5508f0a1a32b"/>
  </ds:schemaRefs>
</ds:datastoreItem>
</file>

<file path=customXml/itemProps3.xml><?xml version="1.0" encoding="utf-8"?>
<ds:datastoreItem xmlns:ds="http://schemas.openxmlformats.org/officeDocument/2006/customXml" ds:itemID="{6219E2A9-6386-4A27-AB0B-2EC17E661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3526-3966-48b3-8a33-11d2c7017ea3"/>
    <ds:schemaRef ds:uri="b0988100-79f4-4bba-8323-5508f0a1a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2137</Words>
  <Characters>12187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Quinn</dc:creator>
  <cp:keywords/>
  <dc:description/>
  <cp:lastModifiedBy>Sinead Quinn</cp:lastModifiedBy>
  <cp:revision>2</cp:revision>
  <dcterms:created xsi:type="dcterms:W3CDTF">2025-09-11T10:54:00Z</dcterms:created>
  <dcterms:modified xsi:type="dcterms:W3CDTF">2025-09-11T10:54:00Z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0x010100747CB7E2C682464F9FC014B6BA17B51C</vt:lpwstr>
  </property>
  <property fmtid="{D5CDD505-2E9C-101B-9397-08002B2CF9AE}" pid="3" name="MediaServiceImageTags">
    <vt:lpwstr/>
  </property>
</Properties>
</file>