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3F9" w:rsidRPr="008673F5" w:rsidRDefault="007263F9" w:rsidP="007263F9">
      <w:pPr>
        <w:rPr>
          <w:b/>
          <w:sz w:val="20"/>
          <w:szCs w:val="20"/>
        </w:rPr>
      </w:pPr>
      <w:bookmarkStart w:id="0" w:name="_GoBack"/>
      <w:bookmarkEnd w:id="0"/>
      <w:r>
        <w:rPr>
          <w:b/>
          <w:sz w:val="20"/>
          <w:szCs w:val="20"/>
        </w:rPr>
        <w:t>4.0</w:t>
      </w:r>
      <w:r>
        <w:rPr>
          <w:b/>
          <w:sz w:val="20"/>
          <w:szCs w:val="20"/>
        </w:rPr>
        <w:tab/>
      </w:r>
      <w:r w:rsidR="00D00310">
        <w:rPr>
          <w:b/>
          <w:sz w:val="20"/>
          <w:szCs w:val="20"/>
        </w:rPr>
        <w:t xml:space="preserve">  </w:t>
      </w:r>
      <w:r w:rsidRPr="008673F5">
        <w:rPr>
          <w:b/>
          <w:sz w:val="20"/>
          <w:szCs w:val="20"/>
        </w:rPr>
        <w:t>SPECIFIC POLICIES AND CODES OF PRACTICE</w:t>
      </w:r>
    </w:p>
    <w:p w:rsidR="007263F9" w:rsidRPr="008673F5" w:rsidRDefault="007263F9" w:rsidP="007263F9">
      <w:pPr>
        <w:rPr>
          <w:b/>
          <w:sz w:val="20"/>
          <w:szCs w:val="20"/>
        </w:rPr>
      </w:pPr>
    </w:p>
    <w:p w:rsidR="007263F9" w:rsidRPr="008673F5" w:rsidRDefault="007263F9" w:rsidP="007263F9">
      <w:pPr>
        <w:rPr>
          <w:b/>
          <w:sz w:val="20"/>
          <w:szCs w:val="20"/>
        </w:rPr>
      </w:pPr>
      <w:r>
        <w:rPr>
          <w:b/>
          <w:sz w:val="20"/>
          <w:szCs w:val="20"/>
        </w:rPr>
        <w:t>4.3</w:t>
      </w:r>
      <w:r>
        <w:rPr>
          <w:b/>
          <w:sz w:val="20"/>
          <w:szCs w:val="20"/>
        </w:rPr>
        <w:tab/>
      </w:r>
      <w:r w:rsidR="00D00310">
        <w:rPr>
          <w:b/>
          <w:sz w:val="20"/>
          <w:szCs w:val="20"/>
        </w:rPr>
        <w:t xml:space="preserve">  </w:t>
      </w:r>
      <w:bookmarkStart w:id="1" w:name="p4_3"/>
      <w:bookmarkEnd w:id="1"/>
      <w:r w:rsidRPr="008673F5">
        <w:rPr>
          <w:b/>
          <w:sz w:val="20"/>
          <w:szCs w:val="20"/>
        </w:rPr>
        <w:t>OCCUPATIONAL HEALTH POLICY</w:t>
      </w:r>
      <w:r w:rsidRPr="008673F5">
        <w:rPr>
          <w:b/>
          <w:sz w:val="20"/>
          <w:szCs w:val="20"/>
        </w:rPr>
        <w:tab/>
      </w:r>
    </w:p>
    <w:p w:rsidR="007263F9" w:rsidRPr="008673F5" w:rsidRDefault="007263F9" w:rsidP="007263F9">
      <w:pPr>
        <w:rPr>
          <w:b/>
          <w:sz w:val="20"/>
          <w:szCs w:val="20"/>
        </w:rPr>
      </w:pPr>
    </w:p>
    <w:p w:rsidR="007263F9" w:rsidRPr="008673F5" w:rsidRDefault="007263F9" w:rsidP="00026632">
      <w:pPr>
        <w:outlineLvl w:val="0"/>
        <w:rPr>
          <w:b/>
          <w:sz w:val="20"/>
          <w:szCs w:val="20"/>
        </w:rPr>
      </w:pPr>
      <w:r>
        <w:rPr>
          <w:b/>
          <w:sz w:val="20"/>
          <w:szCs w:val="20"/>
        </w:rPr>
        <w:t>4.3.1</w:t>
      </w:r>
      <w:r>
        <w:rPr>
          <w:b/>
          <w:sz w:val="20"/>
          <w:szCs w:val="20"/>
        </w:rPr>
        <w:tab/>
      </w:r>
      <w:r w:rsidR="00D00310">
        <w:rPr>
          <w:b/>
          <w:sz w:val="20"/>
          <w:szCs w:val="20"/>
        </w:rPr>
        <w:t xml:space="preserve">  </w:t>
      </w:r>
      <w:r w:rsidRPr="008673F5">
        <w:rPr>
          <w:b/>
          <w:sz w:val="20"/>
          <w:szCs w:val="20"/>
        </w:rPr>
        <w:t>Policy Statement</w:t>
      </w:r>
    </w:p>
    <w:p w:rsidR="007263F9" w:rsidRPr="008673F5" w:rsidRDefault="007263F9" w:rsidP="00726219">
      <w:pPr>
        <w:numPr>
          <w:ilvl w:val="0"/>
          <w:numId w:val="3"/>
        </w:numPr>
        <w:spacing w:before="120"/>
        <w:rPr>
          <w:sz w:val="20"/>
          <w:szCs w:val="20"/>
        </w:rPr>
      </w:pPr>
      <w:r>
        <w:rPr>
          <w:sz w:val="20"/>
          <w:szCs w:val="20"/>
        </w:rPr>
        <w:t>This policy refers to current health and safety legislation, university p</w:t>
      </w:r>
      <w:r w:rsidRPr="008673F5">
        <w:rPr>
          <w:sz w:val="20"/>
          <w:szCs w:val="20"/>
        </w:rPr>
        <w:t xml:space="preserve">olicies, professional guidelines and departmental protocols. </w:t>
      </w:r>
    </w:p>
    <w:p w:rsidR="007263F9" w:rsidRPr="008673F5" w:rsidRDefault="007263F9" w:rsidP="00726219">
      <w:pPr>
        <w:numPr>
          <w:ilvl w:val="0"/>
          <w:numId w:val="3"/>
        </w:numPr>
        <w:spacing w:before="120"/>
        <w:rPr>
          <w:sz w:val="20"/>
          <w:szCs w:val="20"/>
        </w:rPr>
      </w:pPr>
      <w:r w:rsidRPr="008673F5">
        <w:rPr>
          <w:sz w:val="20"/>
          <w:szCs w:val="20"/>
        </w:rPr>
        <w:t>Th</w:t>
      </w:r>
      <w:r>
        <w:rPr>
          <w:sz w:val="20"/>
          <w:szCs w:val="20"/>
        </w:rPr>
        <w:t>e specialist field of occupational h</w:t>
      </w:r>
      <w:r w:rsidRPr="008673F5">
        <w:rPr>
          <w:sz w:val="20"/>
          <w:szCs w:val="20"/>
        </w:rPr>
        <w:t>ealth covers:</w:t>
      </w:r>
    </w:p>
    <w:p w:rsidR="007263F9" w:rsidRPr="008673F5" w:rsidRDefault="007263F9" w:rsidP="00726219">
      <w:pPr>
        <w:numPr>
          <w:ilvl w:val="0"/>
          <w:numId w:val="1"/>
        </w:numPr>
        <w:spacing w:before="60"/>
        <w:rPr>
          <w:sz w:val="20"/>
          <w:szCs w:val="20"/>
        </w:rPr>
      </w:pPr>
      <w:r w:rsidRPr="008673F5">
        <w:rPr>
          <w:sz w:val="20"/>
          <w:szCs w:val="20"/>
        </w:rPr>
        <w:t xml:space="preserve">Health related to work; and </w:t>
      </w:r>
    </w:p>
    <w:p w:rsidR="007263F9" w:rsidRPr="008673F5" w:rsidRDefault="007263F9" w:rsidP="00726219">
      <w:pPr>
        <w:numPr>
          <w:ilvl w:val="0"/>
          <w:numId w:val="1"/>
        </w:numPr>
        <w:spacing w:before="60"/>
        <w:rPr>
          <w:sz w:val="20"/>
          <w:szCs w:val="20"/>
        </w:rPr>
      </w:pPr>
      <w:r w:rsidRPr="008673F5">
        <w:rPr>
          <w:sz w:val="20"/>
          <w:szCs w:val="20"/>
        </w:rPr>
        <w:t>Work and its impact on health.</w:t>
      </w:r>
    </w:p>
    <w:p w:rsidR="007263F9" w:rsidRPr="008673F5" w:rsidRDefault="007263F9" w:rsidP="00726219">
      <w:pPr>
        <w:numPr>
          <w:ilvl w:val="0"/>
          <w:numId w:val="2"/>
        </w:numPr>
        <w:spacing w:before="120"/>
        <w:rPr>
          <w:sz w:val="20"/>
          <w:szCs w:val="20"/>
        </w:rPr>
      </w:pPr>
      <w:r w:rsidRPr="008673F5">
        <w:rPr>
          <w:sz w:val="20"/>
          <w:szCs w:val="20"/>
        </w:rPr>
        <w:t>T</w:t>
      </w:r>
      <w:r>
        <w:rPr>
          <w:sz w:val="20"/>
          <w:szCs w:val="20"/>
        </w:rPr>
        <w:t>he purpose of the university'</w:t>
      </w:r>
      <w:r w:rsidR="00DD13B5">
        <w:rPr>
          <w:sz w:val="20"/>
          <w:szCs w:val="20"/>
        </w:rPr>
        <w:t xml:space="preserve">s occupational health service </w:t>
      </w:r>
      <w:r w:rsidRPr="008673F5">
        <w:rPr>
          <w:sz w:val="20"/>
          <w:szCs w:val="20"/>
        </w:rPr>
        <w:t>is to provide a professional, effective and efficient resource which is proactive in the promotion of the health and well-being of physical and mental health of staff and students in relation to their work or studies.</w:t>
      </w:r>
    </w:p>
    <w:p w:rsidR="007263F9" w:rsidRPr="008673F5" w:rsidRDefault="00DD13B5" w:rsidP="00726219">
      <w:pPr>
        <w:numPr>
          <w:ilvl w:val="0"/>
          <w:numId w:val="2"/>
        </w:numPr>
        <w:spacing w:before="120"/>
        <w:rPr>
          <w:sz w:val="20"/>
          <w:szCs w:val="20"/>
        </w:rPr>
      </w:pPr>
      <w:r>
        <w:rPr>
          <w:sz w:val="20"/>
          <w:szCs w:val="20"/>
        </w:rPr>
        <w:t xml:space="preserve">The occupational health team </w:t>
      </w:r>
      <w:r w:rsidR="007263F9" w:rsidRPr="008673F5">
        <w:rPr>
          <w:sz w:val="20"/>
          <w:szCs w:val="20"/>
        </w:rPr>
        <w:t>will assist in the identification, development, implementation, monitoring and review of strategies for the delivery of occupatio</w:t>
      </w:r>
      <w:r>
        <w:rPr>
          <w:sz w:val="20"/>
          <w:szCs w:val="20"/>
        </w:rPr>
        <w:t>nal health services across the u</w:t>
      </w:r>
      <w:r w:rsidR="007263F9" w:rsidRPr="008673F5">
        <w:rPr>
          <w:sz w:val="20"/>
          <w:szCs w:val="20"/>
        </w:rPr>
        <w:t>niversity.</w:t>
      </w:r>
    </w:p>
    <w:p w:rsidR="007263F9" w:rsidRPr="008673F5" w:rsidRDefault="007263F9" w:rsidP="00726219">
      <w:pPr>
        <w:numPr>
          <w:ilvl w:val="0"/>
          <w:numId w:val="2"/>
        </w:numPr>
        <w:spacing w:before="120"/>
        <w:rPr>
          <w:sz w:val="20"/>
          <w:szCs w:val="20"/>
        </w:rPr>
      </w:pPr>
      <w:r w:rsidRPr="008673F5">
        <w:rPr>
          <w:sz w:val="20"/>
          <w:szCs w:val="20"/>
        </w:rPr>
        <w:t>It is not a replacement or substitut</w:t>
      </w:r>
      <w:r>
        <w:rPr>
          <w:sz w:val="20"/>
          <w:szCs w:val="20"/>
        </w:rPr>
        <w:t>e for the services provided by general p</w:t>
      </w:r>
      <w:r w:rsidRPr="008673F5">
        <w:rPr>
          <w:sz w:val="20"/>
          <w:szCs w:val="20"/>
        </w:rPr>
        <w:t>ractitioners or other specialists and any treatments or prescription requirements remain their res</w:t>
      </w:r>
      <w:r>
        <w:rPr>
          <w:sz w:val="20"/>
          <w:szCs w:val="20"/>
        </w:rPr>
        <w:t>ponsibility, not that</w:t>
      </w:r>
      <w:r w:rsidR="00DD13B5">
        <w:rPr>
          <w:sz w:val="20"/>
          <w:szCs w:val="20"/>
        </w:rPr>
        <w:t xml:space="preserve"> of the occupational health service</w:t>
      </w:r>
      <w:r w:rsidRPr="008673F5">
        <w:rPr>
          <w:sz w:val="20"/>
          <w:szCs w:val="20"/>
        </w:rPr>
        <w:t>.</w:t>
      </w:r>
    </w:p>
    <w:p w:rsidR="007263F9" w:rsidRPr="008673F5" w:rsidRDefault="00DD13B5" w:rsidP="00726219">
      <w:pPr>
        <w:numPr>
          <w:ilvl w:val="0"/>
          <w:numId w:val="2"/>
        </w:numPr>
        <w:spacing w:before="120"/>
        <w:rPr>
          <w:sz w:val="20"/>
          <w:szCs w:val="20"/>
        </w:rPr>
      </w:pPr>
      <w:r>
        <w:rPr>
          <w:sz w:val="20"/>
          <w:szCs w:val="20"/>
        </w:rPr>
        <w:t xml:space="preserve">The occupational health team </w:t>
      </w:r>
      <w:r w:rsidR="007263F9" w:rsidRPr="008673F5">
        <w:rPr>
          <w:sz w:val="20"/>
          <w:szCs w:val="20"/>
        </w:rPr>
        <w:t>takes an impartial view and remain</w:t>
      </w:r>
      <w:r>
        <w:rPr>
          <w:sz w:val="20"/>
          <w:szCs w:val="20"/>
        </w:rPr>
        <w:t>s</w:t>
      </w:r>
      <w:r w:rsidR="007263F9" w:rsidRPr="008673F5">
        <w:rPr>
          <w:sz w:val="20"/>
          <w:szCs w:val="20"/>
        </w:rPr>
        <w:t xml:space="preserve"> objective in the advice given to employers, workers, academic staff and students.</w:t>
      </w:r>
    </w:p>
    <w:p w:rsidR="007263F9" w:rsidRPr="008673F5" w:rsidRDefault="007263F9" w:rsidP="007263F9">
      <w:pPr>
        <w:rPr>
          <w:sz w:val="20"/>
          <w:szCs w:val="20"/>
        </w:rPr>
      </w:pPr>
    </w:p>
    <w:p w:rsidR="007263F9" w:rsidRPr="008673F5" w:rsidRDefault="007263F9" w:rsidP="007263F9">
      <w:pPr>
        <w:rPr>
          <w:b/>
          <w:sz w:val="20"/>
          <w:szCs w:val="20"/>
        </w:rPr>
      </w:pPr>
      <w:r w:rsidRPr="008673F5">
        <w:rPr>
          <w:b/>
          <w:sz w:val="20"/>
          <w:szCs w:val="20"/>
        </w:rPr>
        <w:t>4.3.2</w:t>
      </w:r>
      <w:r w:rsidRPr="008673F5">
        <w:rPr>
          <w:b/>
          <w:sz w:val="20"/>
          <w:szCs w:val="20"/>
        </w:rPr>
        <w:tab/>
      </w:r>
      <w:r w:rsidR="00D00310">
        <w:rPr>
          <w:b/>
          <w:sz w:val="20"/>
          <w:szCs w:val="20"/>
        </w:rPr>
        <w:t xml:space="preserve">  </w:t>
      </w:r>
      <w:r>
        <w:rPr>
          <w:b/>
          <w:color w:val="000000"/>
          <w:sz w:val="20"/>
          <w:szCs w:val="20"/>
        </w:rPr>
        <w:t>The scope of duties of the</w:t>
      </w:r>
      <w:r w:rsidR="00DD13B5">
        <w:rPr>
          <w:b/>
          <w:color w:val="000000"/>
          <w:sz w:val="20"/>
          <w:szCs w:val="20"/>
        </w:rPr>
        <w:t xml:space="preserve"> occupational health team</w:t>
      </w:r>
    </w:p>
    <w:p w:rsidR="007263F9" w:rsidRPr="008673F5" w:rsidRDefault="007263F9" w:rsidP="00726219">
      <w:pPr>
        <w:spacing w:before="120"/>
        <w:rPr>
          <w:sz w:val="20"/>
          <w:szCs w:val="20"/>
        </w:rPr>
      </w:pPr>
      <w:r w:rsidRPr="008673F5">
        <w:rPr>
          <w:sz w:val="20"/>
          <w:szCs w:val="20"/>
        </w:rPr>
        <w:t>4.3.2.1</w:t>
      </w:r>
      <w:r w:rsidRPr="008673F5">
        <w:rPr>
          <w:sz w:val="20"/>
          <w:szCs w:val="20"/>
        </w:rPr>
        <w:tab/>
      </w:r>
      <w:r w:rsidR="00D00310">
        <w:rPr>
          <w:sz w:val="20"/>
          <w:szCs w:val="20"/>
        </w:rPr>
        <w:t xml:space="preserve">  </w:t>
      </w:r>
      <w:r w:rsidRPr="008673F5">
        <w:rPr>
          <w:sz w:val="20"/>
          <w:szCs w:val="20"/>
        </w:rPr>
        <w:t>The main duties</w:t>
      </w:r>
      <w:r w:rsidR="00DD13B5">
        <w:rPr>
          <w:sz w:val="20"/>
          <w:szCs w:val="20"/>
        </w:rPr>
        <w:t xml:space="preserve"> of the occupational health team</w:t>
      </w:r>
      <w:r w:rsidRPr="008673F5">
        <w:rPr>
          <w:sz w:val="20"/>
          <w:szCs w:val="20"/>
        </w:rPr>
        <w:t xml:space="preserve"> are: -</w:t>
      </w:r>
    </w:p>
    <w:p w:rsidR="007263F9" w:rsidRPr="008673F5" w:rsidRDefault="007263F9" w:rsidP="00726219">
      <w:pPr>
        <w:numPr>
          <w:ilvl w:val="0"/>
          <w:numId w:val="4"/>
        </w:numPr>
        <w:spacing w:before="120"/>
        <w:rPr>
          <w:sz w:val="20"/>
          <w:szCs w:val="20"/>
        </w:rPr>
      </w:pPr>
      <w:r w:rsidRPr="008673F5">
        <w:rPr>
          <w:sz w:val="20"/>
          <w:szCs w:val="20"/>
        </w:rPr>
        <w:t>Setting, implementing and reviewing SMART service standards and departmental procedures which relate to a demonstrated evidence base.</w:t>
      </w:r>
    </w:p>
    <w:p w:rsidR="007263F9" w:rsidRPr="008673F5" w:rsidRDefault="007263F9" w:rsidP="00726219">
      <w:pPr>
        <w:numPr>
          <w:ilvl w:val="0"/>
          <w:numId w:val="4"/>
        </w:numPr>
        <w:spacing w:before="120"/>
        <w:rPr>
          <w:sz w:val="20"/>
          <w:szCs w:val="20"/>
        </w:rPr>
      </w:pPr>
      <w:r w:rsidRPr="008673F5">
        <w:rPr>
          <w:sz w:val="20"/>
          <w:szCs w:val="20"/>
        </w:rPr>
        <w:t xml:space="preserve">Undertake pre-employment and pre-training assessment of health related to the post or course or course of study </w:t>
      </w:r>
      <w:hyperlink w:anchor="Appendix_1" w:history="1">
        <w:r w:rsidRPr="00367B49">
          <w:rPr>
            <w:rStyle w:val="Hyperlink"/>
            <w:sz w:val="20"/>
            <w:szCs w:val="20"/>
          </w:rPr>
          <w:t>(refer to appendix 1)</w:t>
        </w:r>
      </w:hyperlink>
      <w:r w:rsidRPr="008673F5">
        <w:rPr>
          <w:sz w:val="20"/>
          <w:szCs w:val="20"/>
        </w:rPr>
        <w:t>.</w:t>
      </w:r>
    </w:p>
    <w:p w:rsidR="007263F9" w:rsidRPr="008673F5" w:rsidRDefault="007263F9" w:rsidP="00726219">
      <w:pPr>
        <w:numPr>
          <w:ilvl w:val="0"/>
          <w:numId w:val="4"/>
        </w:numPr>
        <w:spacing w:before="120"/>
        <w:rPr>
          <w:sz w:val="20"/>
          <w:szCs w:val="20"/>
        </w:rPr>
      </w:pPr>
      <w:r w:rsidRPr="008673F5">
        <w:rPr>
          <w:sz w:val="20"/>
          <w:szCs w:val="20"/>
        </w:rPr>
        <w:t>Dealing with manager,</w:t>
      </w:r>
      <w:r>
        <w:rPr>
          <w:sz w:val="20"/>
          <w:szCs w:val="20"/>
        </w:rPr>
        <w:t xml:space="preserve"> tutor or self referral to the occupational h</w:t>
      </w:r>
      <w:r w:rsidRPr="008673F5">
        <w:rPr>
          <w:sz w:val="20"/>
          <w:szCs w:val="20"/>
        </w:rPr>
        <w:t xml:space="preserve">ealth team </w:t>
      </w:r>
      <w:hyperlink w:anchor="Appendix_2" w:history="1">
        <w:r w:rsidRPr="00367B49">
          <w:rPr>
            <w:rStyle w:val="Hyperlink"/>
            <w:sz w:val="20"/>
            <w:szCs w:val="20"/>
          </w:rPr>
          <w:t>(refer to appendix 2)</w:t>
        </w:r>
      </w:hyperlink>
      <w:r w:rsidRPr="008673F5">
        <w:rPr>
          <w:sz w:val="20"/>
          <w:szCs w:val="20"/>
        </w:rPr>
        <w:t>.</w:t>
      </w:r>
    </w:p>
    <w:p w:rsidR="007263F9" w:rsidRPr="008673F5" w:rsidRDefault="007263F9" w:rsidP="00726219">
      <w:pPr>
        <w:numPr>
          <w:ilvl w:val="0"/>
          <w:numId w:val="4"/>
        </w:numPr>
        <w:spacing w:before="120"/>
        <w:rPr>
          <w:sz w:val="20"/>
          <w:szCs w:val="20"/>
        </w:rPr>
      </w:pPr>
      <w:r w:rsidRPr="008673F5">
        <w:rPr>
          <w:sz w:val="20"/>
          <w:szCs w:val="20"/>
        </w:rPr>
        <w:t>Collaboration to ide</w:t>
      </w:r>
      <w:r>
        <w:rPr>
          <w:sz w:val="20"/>
          <w:szCs w:val="20"/>
        </w:rPr>
        <w:t>ntify and reduce the causes of o</w:t>
      </w:r>
      <w:r w:rsidRPr="008673F5">
        <w:rPr>
          <w:sz w:val="20"/>
          <w:szCs w:val="20"/>
        </w:rPr>
        <w:t>ccupational ill health – this can include liaison and information exchange with external services, general practices or specialists.</w:t>
      </w:r>
    </w:p>
    <w:p w:rsidR="007263F9" w:rsidRPr="008673F5" w:rsidRDefault="007263F9" w:rsidP="00726219">
      <w:pPr>
        <w:numPr>
          <w:ilvl w:val="0"/>
          <w:numId w:val="4"/>
        </w:numPr>
        <w:spacing w:before="120"/>
        <w:rPr>
          <w:sz w:val="20"/>
          <w:szCs w:val="20"/>
        </w:rPr>
      </w:pPr>
      <w:r w:rsidRPr="008673F5">
        <w:rPr>
          <w:sz w:val="20"/>
          <w:szCs w:val="20"/>
        </w:rPr>
        <w:t>Interpreting information obtained from external sources into tangible advice regarding fitness for work or courses of study.</w:t>
      </w:r>
    </w:p>
    <w:p w:rsidR="007263F9" w:rsidRPr="008673F5" w:rsidRDefault="007263F9" w:rsidP="00726219">
      <w:pPr>
        <w:numPr>
          <w:ilvl w:val="0"/>
          <w:numId w:val="4"/>
        </w:numPr>
        <w:spacing w:before="120"/>
        <w:rPr>
          <w:sz w:val="20"/>
          <w:szCs w:val="20"/>
        </w:rPr>
      </w:pPr>
      <w:r w:rsidRPr="008673F5">
        <w:rPr>
          <w:sz w:val="20"/>
          <w:szCs w:val="20"/>
        </w:rPr>
        <w:t>Undertaking relevant</w:t>
      </w:r>
      <w:r w:rsidR="00DD13B5">
        <w:rPr>
          <w:sz w:val="20"/>
          <w:szCs w:val="20"/>
        </w:rPr>
        <w:t xml:space="preserve"> risk-</w:t>
      </w:r>
      <w:r w:rsidR="006C0769">
        <w:rPr>
          <w:sz w:val="20"/>
          <w:szCs w:val="20"/>
        </w:rPr>
        <w:t xml:space="preserve">based health surveillance </w:t>
      </w:r>
      <w:proofErr w:type="spellStart"/>
      <w:r w:rsidRPr="008673F5">
        <w:rPr>
          <w:sz w:val="20"/>
          <w:szCs w:val="20"/>
        </w:rPr>
        <w:t>programmes</w:t>
      </w:r>
      <w:proofErr w:type="spellEnd"/>
      <w:r w:rsidRPr="008673F5">
        <w:rPr>
          <w:sz w:val="20"/>
          <w:szCs w:val="20"/>
        </w:rPr>
        <w:t xml:space="preserve"> in accordance with the COSHH Regulation</w:t>
      </w:r>
      <w:r w:rsidR="00DD13B5">
        <w:rPr>
          <w:sz w:val="20"/>
          <w:szCs w:val="20"/>
        </w:rPr>
        <w:t xml:space="preserve">s, and health promotion relating </w:t>
      </w:r>
      <w:r w:rsidRPr="008673F5">
        <w:rPr>
          <w:sz w:val="20"/>
          <w:szCs w:val="20"/>
        </w:rPr>
        <w:t xml:space="preserve">to risks such </w:t>
      </w:r>
      <w:r w:rsidR="00DD13B5">
        <w:rPr>
          <w:sz w:val="20"/>
          <w:szCs w:val="20"/>
        </w:rPr>
        <w:t xml:space="preserve">as </w:t>
      </w:r>
      <w:r w:rsidRPr="008673F5">
        <w:rPr>
          <w:sz w:val="20"/>
          <w:szCs w:val="20"/>
        </w:rPr>
        <w:t xml:space="preserve">noise, respiratory and skin </w:t>
      </w:r>
      <w:proofErr w:type="spellStart"/>
      <w:r w:rsidRPr="008673F5">
        <w:rPr>
          <w:sz w:val="20"/>
          <w:szCs w:val="20"/>
        </w:rPr>
        <w:t>sensitisers</w:t>
      </w:r>
      <w:proofErr w:type="spellEnd"/>
      <w:r w:rsidRPr="008673F5">
        <w:rPr>
          <w:sz w:val="20"/>
          <w:szCs w:val="20"/>
        </w:rPr>
        <w:t>,</w:t>
      </w:r>
      <w:r w:rsidR="00DD13B5">
        <w:rPr>
          <w:sz w:val="20"/>
          <w:szCs w:val="20"/>
        </w:rPr>
        <w:t xml:space="preserve"> and </w:t>
      </w:r>
      <w:r w:rsidRPr="008673F5">
        <w:rPr>
          <w:sz w:val="20"/>
          <w:szCs w:val="20"/>
        </w:rPr>
        <w:t>biological agents.</w:t>
      </w:r>
    </w:p>
    <w:p w:rsidR="007263F9" w:rsidRPr="008673F5" w:rsidRDefault="007263F9" w:rsidP="00726219">
      <w:pPr>
        <w:numPr>
          <w:ilvl w:val="0"/>
          <w:numId w:val="4"/>
        </w:numPr>
        <w:spacing w:before="120"/>
        <w:rPr>
          <w:sz w:val="20"/>
          <w:szCs w:val="20"/>
        </w:rPr>
      </w:pPr>
      <w:r w:rsidRPr="008673F5">
        <w:rPr>
          <w:sz w:val="20"/>
          <w:szCs w:val="20"/>
        </w:rPr>
        <w:t>Prov</w:t>
      </w:r>
      <w:r w:rsidR="006C0769">
        <w:rPr>
          <w:sz w:val="20"/>
          <w:szCs w:val="20"/>
        </w:rPr>
        <w:t xml:space="preserve">iding advice and </w:t>
      </w:r>
      <w:r w:rsidRPr="008673F5">
        <w:rPr>
          <w:sz w:val="20"/>
          <w:szCs w:val="20"/>
        </w:rPr>
        <w:t>informatio</w:t>
      </w:r>
      <w:r w:rsidR="00DD13B5">
        <w:rPr>
          <w:sz w:val="20"/>
          <w:szCs w:val="20"/>
        </w:rPr>
        <w:t>n regarding the control of work-</w:t>
      </w:r>
      <w:r w:rsidRPr="008673F5">
        <w:rPr>
          <w:sz w:val="20"/>
          <w:szCs w:val="20"/>
        </w:rPr>
        <w:t xml:space="preserve">related risks </w:t>
      </w:r>
      <w:hyperlink w:anchor="Appendix_2" w:history="1">
        <w:r w:rsidRPr="00367B49">
          <w:rPr>
            <w:rStyle w:val="Hyperlink"/>
            <w:sz w:val="20"/>
            <w:szCs w:val="20"/>
          </w:rPr>
          <w:t>(refer to appendix 2).</w:t>
        </w:r>
      </w:hyperlink>
    </w:p>
    <w:p w:rsidR="007263F9" w:rsidRPr="008673F5" w:rsidRDefault="007263F9" w:rsidP="00726219">
      <w:pPr>
        <w:numPr>
          <w:ilvl w:val="0"/>
          <w:numId w:val="4"/>
        </w:numPr>
        <w:spacing w:before="120"/>
        <w:rPr>
          <w:sz w:val="20"/>
          <w:szCs w:val="20"/>
        </w:rPr>
      </w:pPr>
      <w:r w:rsidRPr="008673F5">
        <w:rPr>
          <w:sz w:val="20"/>
          <w:szCs w:val="20"/>
        </w:rPr>
        <w:t xml:space="preserve">Recommending the use of counselling services </w:t>
      </w:r>
      <w:hyperlink w:anchor="Appendix_2" w:history="1">
        <w:r w:rsidRPr="00367B49">
          <w:rPr>
            <w:rStyle w:val="Hyperlink"/>
            <w:sz w:val="20"/>
            <w:szCs w:val="20"/>
          </w:rPr>
          <w:t>(refer to appendix 2).</w:t>
        </w:r>
      </w:hyperlink>
    </w:p>
    <w:p w:rsidR="007263F9" w:rsidRPr="008673F5" w:rsidRDefault="007263F9" w:rsidP="00726219">
      <w:pPr>
        <w:numPr>
          <w:ilvl w:val="0"/>
          <w:numId w:val="4"/>
        </w:numPr>
        <w:spacing w:before="120"/>
        <w:rPr>
          <w:color w:val="FF0000"/>
          <w:sz w:val="20"/>
          <w:szCs w:val="20"/>
        </w:rPr>
      </w:pPr>
      <w:r w:rsidRPr="008673F5">
        <w:rPr>
          <w:sz w:val="20"/>
          <w:szCs w:val="20"/>
        </w:rPr>
        <w:t xml:space="preserve">Offering guidance on adjustments to assist with work under the remit of the </w:t>
      </w:r>
      <w:r w:rsidR="0035394C">
        <w:rPr>
          <w:sz w:val="20"/>
          <w:szCs w:val="20"/>
        </w:rPr>
        <w:t>Equality Act</w:t>
      </w:r>
      <w:r w:rsidRPr="008673F5">
        <w:rPr>
          <w:sz w:val="20"/>
          <w:szCs w:val="20"/>
        </w:rPr>
        <w:t>.</w:t>
      </w:r>
    </w:p>
    <w:p w:rsidR="007263F9" w:rsidRPr="008673F5" w:rsidRDefault="007263F9" w:rsidP="00726219">
      <w:pPr>
        <w:numPr>
          <w:ilvl w:val="0"/>
          <w:numId w:val="4"/>
        </w:numPr>
        <w:spacing w:before="120"/>
        <w:rPr>
          <w:sz w:val="20"/>
          <w:szCs w:val="20"/>
        </w:rPr>
      </w:pPr>
      <w:r w:rsidRPr="008673F5">
        <w:rPr>
          <w:sz w:val="20"/>
          <w:szCs w:val="20"/>
        </w:rPr>
        <w:t>Giving advice regarding sickness absence, rehabilit</w:t>
      </w:r>
      <w:r w:rsidR="00DD13B5">
        <w:rPr>
          <w:sz w:val="20"/>
          <w:szCs w:val="20"/>
        </w:rPr>
        <w:t xml:space="preserve">ation to work, redeployment and, where appropriate, </w:t>
      </w:r>
      <w:r w:rsidRPr="008673F5">
        <w:rPr>
          <w:sz w:val="20"/>
          <w:szCs w:val="20"/>
        </w:rPr>
        <w:t>retirement on ill health grounds.</w:t>
      </w:r>
    </w:p>
    <w:p w:rsidR="007263F9" w:rsidRPr="008673F5" w:rsidRDefault="007263F9" w:rsidP="00726219">
      <w:pPr>
        <w:numPr>
          <w:ilvl w:val="0"/>
          <w:numId w:val="4"/>
        </w:numPr>
        <w:spacing w:before="120"/>
        <w:rPr>
          <w:sz w:val="20"/>
          <w:szCs w:val="20"/>
        </w:rPr>
      </w:pPr>
      <w:r w:rsidRPr="008673F5">
        <w:rPr>
          <w:sz w:val="20"/>
          <w:szCs w:val="20"/>
        </w:rPr>
        <w:t xml:space="preserve">Undertaking vaccinations and / or blood tests relevant to occupational risks and follow up of body fluid contamination incidents, including sharps injuries </w:t>
      </w:r>
      <w:hyperlink w:anchor="Appendix_3" w:history="1">
        <w:r w:rsidRPr="00595938">
          <w:rPr>
            <w:rStyle w:val="Hyperlink"/>
            <w:sz w:val="20"/>
            <w:szCs w:val="20"/>
          </w:rPr>
          <w:t>(refer to appendix 3).</w:t>
        </w:r>
      </w:hyperlink>
    </w:p>
    <w:p w:rsidR="007263F9" w:rsidRPr="008673F5" w:rsidRDefault="007263F9" w:rsidP="00726219">
      <w:pPr>
        <w:numPr>
          <w:ilvl w:val="0"/>
          <w:numId w:val="4"/>
        </w:numPr>
        <w:spacing w:before="120"/>
        <w:rPr>
          <w:sz w:val="20"/>
          <w:szCs w:val="20"/>
        </w:rPr>
      </w:pPr>
      <w:r w:rsidRPr="008673F5">
        <w:rPr>
          <w:sz w:val="20"/>
          <w:szCs w:val="20"/>
        </w:rPr>
        <w:t xml:space="preserve">Identification of recruitment requirements </w:t>
      </w:r>
      <w:r w:rsidR="00DD13B5">
        <w:rPr>
          <w:sz w:val="20"/>
          <w:szCs w:val="20"/>
        </w:rPr>
        <w:t xml:space="preserve">and co-ordination of training and supplies </w:t>
      </w:r>
      <w:r w:rsidRPr="008673F5">
        <w:rPr>
          <w:sz w:val="20"/>
          <w:szCs w:val="20"/>
        </w:rPr>
        <w:t>for first aid per</w:t>
      </w:r>
      <w:r>
        <w:rPr>
          <w:sz w:val="20"/>
          <w:szCs w:val="20"/>
        </w:rPr>
        <w:t>sonnel a</w:t>
      </w:r>
      <w:r w:rsidR="00DD13B5">
        <w:rPr>
          <w:sz w:val="20"/>
          <w:szCs w:val="20"/>
        </w:rPr>
        <w:t xml:space="preserve">nd specific </w:t>
      </w:r>
      <w:r w:rsidRPr="008673F5">
        <w:rPr>
          <w:sz w:val="20"/>
          <w:szCs w:val="20"/>
        </w:rPr>
        <w:t>updates to supplement first aid at work training.</w:t>
      </w:r>
    </w:p>
    <w:p w:rsidR="007263F9" w:rsidRPr="008673F5" w:rsidRDefault="007263F9" w:rsidP="007263F9">
      <w:pPr>
        <w:rPr>
          <w:sz w:val="20"/>
          <w:szCs w:val="20"/>
        </w:rPr>
      </w:pPr>
    </w:p>
    <w:p w:rsidR="007263F9" w:rsidRPr="008673F5" w:rsidRDefault="007263F9" w:rsidP="00026632">
      <w:pPr>
        <w:outlineLvl w:val="0"/>
        <w:rPr>
          <w:sz w:val="20"/>
          <w:szCs w:val="20"/>
        </w:rPr>
      </w:pPr>
      <w:r>
        <w:rPr>
          <w:b/>
          <w:sz w:val="20"/>
          <w:szCs w:val="20"/>
        </w:rPr>
        <w:t>4.3.3</w:t>
      </w:r>
      <w:r>
        <w:rPr>
          <w:b/>
          <w:sz w:val="20"/>
          <w:szCs w:val="20"/>
        </w:rPr>
        <w:tab/>
      </w:r>
      <w:r w:rsidR="00D00310">
        <w:rPr>
          <w:b/>
          <w:sz w:val="20"/>
          <w:szCs w:val="20"/>
        </w:rPr>
        <w:t xml:space="preserve">  </w:t>
      </w:r>
      <w:r>
        <w:rPr>
          <w:b/>
          <w:sz w:val="20"/>
          <w:szCs w:val="20"/>
        </w:rPr>
        <w:t>Confidentiality, record keeping and expressing c</w:t>
      </w:r>
      <w:r w:rsidRPr="008673F5">
        <w:rPr>
          <w:b/>
          <w:sz w:val="20"/>
          <w:szCs w:val="20"/>
        </w:rPr>
        <w:t>oncerns</w:t>
      </w:r>
    </w:p>
    <w:p w:rsidR="007263F9" w:rsidRPr="008673F5" w:rsidRDefault="007263F9" w:rsidP="00726219">
      <w:pPr>
        <w:numPr>
          <w:ilvl w:val="0"/>
          <w:numId w:val="5"/>
        </w:numPr>
        <w:spacing w:before="120"/>
        <w:rPr>
          <w:sz w:val="20"/>
          <w:szCs w:val="20"/>
        </w:rPr>
      </w:pPr>
      <w:r>
        <w:rPr>
          <w:sz w:val="20"/>
          <w:szCs w:val="20"/>
        </w:rPr>
        <w:t xml:space="preserve">The </w:t>
      </w:r>
      <w:r w:rsidR="00DD13B5">
        <w:rPr>
          <w:sz w:val="20"/>
          <w:szCs w:val="20"/>
        </w:rPr>
        <w:t xml:space="preserve">occupational health team </w:t>
      </w:r>
      <w:r w:rsidRPr="008673F5">
        <w:rPr>
          <w:sz w:val="20"/>
          <w:szCs w:val="20"/>
        </w:rPr>
        <w:t>works within strict guidelines relating to ethics and confidentiality laid down by their professional bodies.</w:t>
      </w:r>
    </w:p>
    <w:p w:rsidR="007263F9" w:rsidRPr="008673F5" w:rsidRDefault="007263F9" w:rsidP="00726219">
      <w:pPr>
        <w:spacing w:before="120"/>
        <w:rPr>
          <w:sz w:val="20"/>
          <w:szCs w:val="20"/>
        </w:rPr>
      </w:pPr>
    </w:p>
    <w:p w:rsidR="007263F9" w:rsidRPr="008673F5" w:rsidRDefault="007263F9" w:rsidP="00726219">
      <w:pPr>
        <w:numPr>
          <w:ilvl w:val="0"/>
          <w:numId w:val="5"/>
        </w:numPr>
        <w:spacing w:before="120"/>
        <w:rPr>
          <w:sz w:val="20"/>
          <w:szCs w:val="20"/>
        </w:rPr>
      </w:pPr>
      <w:r w:rsidRPr="008673F5">
        <w:rPr>
          <w:sz w:val="20"/>
          <w:szCs w:val="20"/>
        </w:rPr>
        <w:lastRenderedPageBreak/>
        <w:t xml:space="preserve">The records system is designed so that the confidential aspects of clinical information are only accessible to </w:t>
      </w:r>
      <w:proofErr w:type="spellStart"/>
      <w:r w:rsidRPr="008673F5">
        <w:rPr>
          <w:sz w:val="20"/>
          <w:szCs w:val="20"/>
        </w:rPr>
        <w:t>au</w:t>
      </w:r>
      <w:r>
        <w:rPr>
          <w:sz w:val="20"/>
          <w:szCs w:val="20"/>
        </w:rPr>
        <w:t>thorised</w:t>
      </w:r>
      <w:proofErr w:type="spellEnd"/>
      <w:r>
        <w:rPr>
          <w:sz w:val="20"/>
          <w:szCs w:val="20"/>
        </w:rPr>
        <w:t xml:space="preserve"> staff within</w:t>
      </w:r>
      <w:r w:rsidR="00DD13B5">
        <w:rPr>
          <w:sz w:val="20"/>
          <w:szCs w:val="20"/>
        </w:rPr>
        <w:t xml:space="preserve"> the service</w:t>
      </w:r>
      <w:r w:rsidRPr="008673F5">
        <w:rPr>
          <w:sz w:val="20"/>
          <w:szCs w:val="20"/>
        </w:rPr>
        <w:t xml:space="preserve">.  </w:t>
      </w:r>
    </w:p>
    <w:p w:rsidR="007263F9" w:rsidRPr="008673F5" w:rsidRDefault="007263F9" w:rsidP="00726219">
      <w:pPr>
        <w:numPr>
          <w:ilvl w:val="0"/>
          <w:numId w:val="5"/>
        </w:numPr>
        <w:spacing w:before="120"/>
        <w:rPr>
          <w:sz w:val="20"/>
          <w:szCs w:val="20"/>
        </w:rPr>
      </w:pPr>
      <w:r w:rsidRPr="008673F5">
        <w:rPr>
          <w:sz w:val="20"/>
          <w:szCs w:val="20"/>
        </w:rPr>
        <w:t xml:space="preserve">Clinical information will not normally be released to anyone without the written consent of the individual concerned </w:t>
      </w:r>
      <w:hyperlink w:anchor="Appendix_2" w:history="1">
        <w:r w:rsidRPr="00595938">
          <w:rPr>
            <w:rStyle w:val="Hyperlink"/>
            <w:sz w:val="20"/>
            <w:szCs w:val="20"/>
          </w:rPr>
          <w:t>(refer to appendix 2).</w:t>
        </w:r>
      </w:hyperlink>
    </w:p>
    <w:p w:rsidR="007263F9" w:rsidRPr="008673F5" w:rsidRDefault="007263F9" w:rsidP="00726219">
      <w:pPr>
        <w:numPr>
          <w:ilvl w:val="0"/>
          <w:numId w:val="5"/>
        </w:numPr>
        <w:spacing w:before="120"/>
        <w:rPr>
          <w:sz w:val="20"/>
          <w:szCs w:val="20"/>
        </w:rPr>
      </w:pPr>
      <w:r w:rsidRPr="008673F5">
        <w:rPr>
          <w:sz w:val="20"/>
          <w:szCs w:val="20"/>
        </w:rPr>
        <w:t>Past or current clients wishing to access their records or make an expression of concern should follow departmental guidelines.</w:t>
      </w:r>
    </w:p>
    <w:p w:rsidR="007263F9" w:rsidRPr="008673F5" w:rsidRDefault="007263F9" w:rsidP="007263F9">
      <w:pPr>
        <w:rPr>
          <w:sz w:val="20"/>
          <w:szCs w:val="20"/>
        </w:rPr>
      </w:pPr>
    </w:p>
    <w:p w:rsidR="007263F9" w:rsidRPr="008673F5" w:rsidRDefault="007263F9" w:rsidP="00026632">
      <w:pPr>
        <w:outlineLvl w:val="0"/>
        <w:rPr>
          <w:b/>
          <w:sz w:val="20"/>
          <w:szCs w:val="20"/>
        </w:rPr>
      </w:pPr>
      <w:r>
        <w:rPr>
          <w:b/>
          <w:sz w:val="20"/>
          <w:szCs w:val="20"/>
        </w:rPr>
        <w:t>4.3.4</w:t>
      </w:r>
      <w:r>
        <w:rPr>
          <w:b/>
          <w:sz w:val="20"/>
          <w:szCs w:val="20"/>
        </w:rPr>
        <w:tab/>
      </w:r>
      <w:r w:rsidR="00D00310">
        <w:rPr>
          <w:b/>
          <w:sz w:val="20"/>
          <w:szCs w:val="20"/>
        </w:rPr>
        <w:t xml:space="preserve">  </w:t>
      </w:r>
      <w:r>
        <w:rPr>
          <w:b/>
          <w:sz w:val="20"/>
          <w:szCs w:val="20"/>
        </w:rPr>
        <w:t>Occupational health s</w:t>
      </w:r>
      <w:r w:rsidRPr="008673F5">
        <w:rPr>
          <w:b/>
          <w:sz w:val="20"/>
          <w:szCs w:val="20"/>
        </w:rPr>
        <w:t xml:space="preserve">taff </w:t>
      </w:r>
    </w:p>
    <w:p w:rsidR="007263F9" w:rsidRPr="008673F5" w:rsidRDefault="007263F9" w:rsidP="00726219">
      <w:pPr>
        <w:numPr>
          <w:ilvl w:val="0"/>
          <w:numId w:val="6"/>
        </w:numPr>
        <w:spacing w:before="120"/>
        <w:rPr>
          <w:sz w:val="20"/>
          <w:szCs w:val="20"/>
        </w:rPr>
      </w:pPr>
      <w:r>
        <w:rPr>
          <w:sz w:val="20"/>
          <w:szCs w:val="20"/>
        </w:rPr>
        <w:t xml:space="preserve">The department </w:t>
      </w:r>
      <w:r w:rsidRPr="008673F5">
        <w:rPr>
          <w:sz w:val="20"/>
          <w:szCs w:val="20"/>
        </w:rPr>
        <w:t>is supp</w:t>
      </w:r>
      <w:r w:rsidR="002B0127">
        <w:rPr>
          <w:sz w:val="20"/>
          <w:szCs w:val="20"/>
        </w:rPr>
        <w:t>orted by the Occupational Health Administration T</w:t>
      </w:r>
      <w:r w:rsidRPr="008673F5">
        <w:rPr>
          <w:sz w:val="20"/>
          <w:szCs w:val="20"/>
        </w:rPr>
        <w:t>eam</w:t>
      </w:r>
      <w:r w:rsidR="002B0127">
        <w:rPr>
          <w:sz w:val="20"/>
          <w:szCs w:val="20"/>
        </w:rPr>
        <w:t xml:space="preserve"> (OHAT)</w:t>
      </w:r>
      <w:r w:rsidRPr="008673F5">
        <w:rPr>
          <w:sz w:val="20"/>
          <w:szCs w:val="20"/>
        </w:rPr>
        <w:t xml:space="preserve"> who will normally be the first point of contact.  </w:t>
      </w:r>
    </w:p>
    <w:p w:rsidR="007263F9" w:rsidRPr="008673F5" w:rsidRDefault="006C0769" w:rsidP="00726219">
      <w:pPr>
        <w:numPr>
          <w:ilvl w:val="0"/>
          <w:numId w:val="6"/>
        </w:numPr>
        <w:spacing w:before="120"/>
        <w:rPr>
          <w:color w:val="000000"/>
          <w:sz w:val="20"/>
          <w:szCs w:val="20"/>
        </w:rPr>
      </w:pPr>
      <w:r>
        <w:rPr>
          <w:color w:val="000000"/>
          <w:sz w:val="20"/>
          <w:szCs w:val="20"/>
        </w:rPr>
        <w:t xml:space="preserve">The Occupational Health Manager (OHM) takes the lead on development and </w:t>
      </w:r>
      <w:r w:rsidR="007263F9" w:rsidRPr="008673F5">
        <w:rPr>
          <w:color w:val="000000"/>
          <w:sz w:val="20"/>
          <w:szCs w:val="20"/>
        </w:rPr>
        <w:t>delivery of core occupation</w:t>
      </w:r>
      <w:r w:rsidR="007263F9">
        <w:rPr>
          <w:color w:val="000000"/>
          <w:sz w:val="20"/>
          <w:szCs w:val="20"/>
        </w:rPr>
        <w:t>al health services to both the u</w:t>
      </w:r>
      <w:r w:rsidR="007263F9" w:rsidRPr="008673F5">
        <w:rPr>
          <w:color w:val="000000"/>
          <w:sz w:val="20"/>
          <w:szCs w:val="20"/>
        </w:rPr>
        <w:t>niversity and to ce</w:t>
      </w:r>
      <w:r>
        <w:rPr>
          <w:color w:val="000000"/>
          <w:sz w:val="20"/>
          <w:szCs w:val="20"/>
        </w:rPr>
        <w:t>rtain student groups.  The OHM</w:t>
      </w:r>
      <w:r w:rsidR="007263F9" w:rsidRPr="008673F5">
        <w:rPr>
          <w:color w:val="000000"/>
          <w:sz w:val="20"/>
          <w:szCs w:val="20"/>
        </w:rPr>
        <w:t xml:space="preserve"> reports</w:t>
      </w:r>
      <w:r w:rsidR="00C775A3">
        <w:rPr>
          <w:color w:val="000000"/>
          <w:sz w:val="20"/>
          <w:szCs w:val="20"/>
        </w:rPr>
        <w:t xml:space="preserve"> </w:t>
      </w:r>
      <w:r w:rsidR="007263F9">
        <w:rPr>
          <w:color w:val="000000"/>
          <w:sz w:val="20"/>
          <w:szCs w:val="20"/>
        </w:rPr>
        <w:t>to the Director of Human Resources Group</w:t>
      </w:r>
      <w:r w:rsidR="007263F9" w:rsidRPr="008673F5">
        <w:rPr>
          <w:color w:val="000000"/>
          <w:sz w:val="20"/>
          <w:szCs w:val="20"/>
        </w:rPr>
        <w:t>.</w:t>
      </w:r>
    </w:p>
    <w:p w:rsidR="007263F9" w:rsidRPr="008673F5" w:rsidRDefault="002B0127" w:rsidP="00726219">
      <w:pPr>
        <w:numPr>
          <w:ilvl w:val="0"/>
          <w:numId w:val="6"/>
        </w:numPr>
        <w:spacing w:before="120"/>
        <w:rPr>
          <w:color w:val="000000"/>
          <w:sz w:val="20"/>
          <w:szCs w:val="20"/>
        </w:rPr>
      </w:pPr>
      <w:r>
        <w:rPr>
          <w:color w:val="000000"/>
          <w:sz w:val="20"/>
          <w:szCs w:val="20"/>
        </w:rPr>
        <w:t>The Occupational Health Nursing Advisers (OHNAs)</w:t>
      </w:r>
      <w:r w:rsidR="007263F9" w:rsidRPr="008673F5">
        <w:rPr>
          <w:color w:val="000000"/>
          <w:sz w:val="20"/>
          <w:szCs w:val="20"/>
        </w:rPr>
        <w:t xml:space="preserve">, with reference to the </w:t>
      </w:r>
      <w:r w:rsidR="006C0769">
        <w:rPr>
          <w:color w:val="000000"/>
          <w:sz w:val="20"/>
          <w:szCs w:val="20"/>
        </w:rPr>
        <w:t>OHM</w:t>
      </w:r>
      <w:r w:rsidR="007263F9">
        <w:rPr>
          <w:color w:val="000000"/>
          <w:sz w:val="20"/>
          <w:szCs w:val="20"/>
        </w:rPr>
        <w:t>, undertake core occupational health activities</w:t>
      </w:r>
      <w:r w:rsidR="007263F9" w:rsidRPr="008673F5">
        <w:rPr>
          <w:color w:val="000000"/>
          <w:sz w:val="20"/>
          <w:szCs w:val="20"/>
        </w:rPr>
        <w:t>.</w:t>
      </w:r>
    </w:p>
    <w:p w:rsidR="007263F9" w:rsidRPr="008673F5" w:rsidRDefault="0035394C" w:rsidP="00726219">
      <w:pPr>
        <w:numPr>
          <w:ilvl w:val="0"/>
          <w:numId w:val="6"/>
        </w:numPr>
        <w:spacing w:before="120"/>
        <w:rPr>
          <w:sz w:val="20"/>
          <w:szCs w:val="20"/>
        </w:rPr>
      </w:pPr>
      <w:r>
        <w:rPr>
          <w:sz w:val="20"/>
          <w:szCs w:val="20"/>
        </w:rPr>
        <w:t xml:space="preserve">Where holding the relevant qualification, </w:t>
      </w:r>
      <w:r w:rsidR="007263F9">
        <w:rPr>
          <w:sz w:val="20"/>
          <w:szCs w:val="20"/>
        </w:rPr>
        <w:t xml:space="preserve">The </w:t>
      </w:r>
      <w:r w:rsidR="006C0769">
        <w:rPr>
          <w:sz w:val="20"/>
          <w:szCs w:val="20"/>
        </w:rPr>
        <w:t>OHM</w:t>
      </w:r>
      <w:r w:rsidR="007263F9">
        <w:rPr>
          <w:sz w:val="20"/>
          <w:szCs w:val="20"/>
        </w:rPr>
        <w:t xml:space="preserve"> </w:t>
      </w:r>
      <w:r>
        <w:rPr>
          <w:sz w:val="20"/>
          <w:szCs w:val="20"/>
        </w:rPr>
        <w:t xml:space="preserve">and OHNAs can </w:t>
      </w:r>
      <w:r w:rsidR="002B0127">
        <w:rPr>
          <w:sz w:val="20"/>
          <w:szCs w:val="20"/>
        </w:rPr>
        <w:t>acts</w:t>
      </w:r>
      <w:r w:rsidR="007263F9">
        <w:rPr>
          <w:sz w:val="20"/>
          <w:szCs w:val="20"/>
        </w:rPr>
        <w:t xml:space="preserve"> as practice t</w:t>
      </w:r>
      <w:r w:rsidR="007263F9" w:rsidRPr="008673F5">
        <w:rPr>
          <w:sz w:val="20"/>
          <w:szCs w:val="20"/>
        </w:rPr>
        <w:t>eacher</w:t>
      </w:r>
      <w:r w:rsidR="002B0127">
        <w:rPr>
          <w:sz w:val="20"/>
          <w:szCs w:val="20"/>
        </w:rPr>
        <w:t>s</w:t>
      </w:r>
      <w:r w:rsidR="007263F9" w:rsidRPr="008673F5">
        <w:rPr>
          <w:sz w:val="20"/>
          <w:szCs w:val="20"/>
        </w:rPr>
        <w:t xml:space="preserve"> to qualified nurses undertaking specialist qu</w:t>
      </w:r>
      <w:r w:rsidR="00C775A3">
        <w:rPr>
          <w:sz w:val="20"/>
          <w:szCs w:val="20"/>
        </w:rPr>
        <w:t>alifications in occupational h</w:t>
      </w:r>
      <w:r w:rsidR="007263F9" w:rsidRPr="008673F5">
        <w:rPr>
          <w:sz w:val="20"/>
          <w:szCs w:val="20"/>
        </w:rPr>
        <w:t>ealth – clients of the department may be assessed or reviewed by a stude</w:t>
      </w:r>
      <w:r w:rsidR="002B0127">
        <w:rPr>
          <w:sz w:val="20"/>
          <w:szCs w:val="20"/>
        </w:rPr>
        <w:t>nt under the</w:t>
      </w:r>
      <w:r w:rsidR="00C775A3">
        <w:rPr>
          <w:sz w:val="20"/>
          <w:szCs w:val="20"/>
        </w:rPr>
        <w:t xml:space="preserve"> supervision of either of these</w:t>
      </w:r>
      <w:r w:rsidR="007263F9" w:rsidRPr="008673F5">
        <w:rPr>
          <w:sz w:val="20"/>
          <w:szCs w:val="20"/>
        </w:rPr>
        <w:t>.</w:t>
      </w:r>
    </w:p>
    <w:p w:rsidR="007263F9" w:rsidRPr="008673F5" w:rsidRDefault="00C775A3" w:rsidP="00726219">
      <w:pPr>
        <w:numPr>
          <w:ilvl w:val="0"/>
          <w:numId w:val="6"/>
        </w:numPr>
        <w:spacing w:before="120"/>
        <w:rPr>
          <w:sz w:val="20"/>
          <w:szCs w:val="20"/>
        </w:rPr>
      </w:pPr>
      <w:r>
        <w:rPr>
          <w:sz w:val="20"/>
          <w:szCs w:val="20"/>
        </w:rPr>
        <w:t xml:space="preserve">The occupational health team </w:t>
      </w:r>
      <w:r w:rsidR="007263F9" w:rsidRPr="008673F5">
        <w:rPr>
          <w:sz w:val="20"/>
          <w:szCs w:val="20"/>
        </w:rPr>
        <w:t>has the facility t</w:t>
      </w:r>
      <w:r w:rsidR="007263F9">
        <w:rPr>
          <w:sz w:val="20"/>
          <w:szCs w:val="20"/>
        </w:rPr>
        <w:t>o refer staff or students to a physician qualified in occupational m</w:t>
      </w:r>
      <w:r w:rsidR="007263F9" w:rsidRPr="008673F5">
        <w:rPr>
          <w:sz w:val="20"/>
          <w:szCs w:val="20"/>
        </w:rPr>
        <w:t xml:space="preserve">edicine where a specialist opinion is required to support the advice being provided </w:t>
      </w:r>
      <w:r>
        <w:rPr>
          <w:sz w:val="20"/>
          <w:szCs w:val="20"/>
        </w:rPr>
        <w:t xml:space="preserve">(e.g. ill health retirement, </w:t>
      </w:r>
      <w:r w:rsidR="007263F9" w:rsidRPr="008673F5">
        <w:rPr>
          <w:sz w:val="20"/>
          <w:szCs w:val="20"/>
        </w:rPr>
        <w:t>suitability to commence or resume a course of study following a significant ill health issue</w:t>
      </w:r>
      <w:r>
        <w:rPr>
          <w:sz w:val="20"/>
          <w:szCs w:val="20"/>
        </w:rPr>
        <w:t>)</w:t>
      </w:r>
      <w:r w:rsidR="007263F9" w:rsidRPr="008673F5">
        <w:rPr>
          <w:sz w:val="20"/>
          <w:szCs w:val="20"/>
        </w:rPr>
        <w:t xml:space="preserve">. </w:t>
      </w:r>
    </w:p>
    <w:p w:rsidR="007263F9" w:rsidRPr="008673F5" w:rsidRDefault="007263F9" w:rsidP="007263F9">
      <w:pPr>
        <w:rPr>
          <w:b/>
          <w:sz w:val="20"/>
          <w:szCs w:val="20"/>
        </w:rPr>
      </w:pPr>
    </w:p>
    <w:p w:rsidR="007263F9" w:rsidRPr="008673F5" w:rsidRDefault="007263F9" w:rsidP="00026632">
      <w:pPr>
        <w:outlineLvl w:val="0"/>
        <w:rPr>
          <w:b/>
          <w:sz w:val="20"/>
          <w:szCs w:val="20"/>
        </w:rPr>
      </w:pPr>
      <w:bookmarkStart w:id="2" w:name="Appendix_1"/>
      <w:r>
        <w:rPr>
          <w:b/>
          <w:sz w:val="20"/>
          <w:szCs w:val="20"/>
        </w:rPr>
        <w:t>Appendix 1</w:t>
      </w:r>
      <w:bookmarkEnd w:id="2"/>
      <w:r>
        <w:rPr>
          <w:b/>
          <w:sz w:val="20"/>
          <w:szCs w:val="20"/>
        </w:rPr>
        <w:t>: pre-employment and pre-training health a</w:t>
      </w:r>
      <w:r w:rsidRPr="008673F5">
        <w:rPr>
          <w:b/>
          <w:sz w:val="20"/>
          <w:szCs w:val="20"/>
        </w:rPr>
        <w:t>ssessment</w:t>
      </w:r>
    </w:p>
    <w:p w:rsidR="007263F9" w:rsidRPr="008673F5" w:rsidRDefault="007263F9" w:rsidP="00726219">
      <w:pPr>
        <w:spacing w:before="120"/>
        <w:rPr>
          <w:sz w:val="20"/>
          <w:szCs w:val="20"/>
        </w:rPr>
      </w:pPr>
      <w:r w:rsidRPr="008673F5">
        <w:rPr>
          <w:sz w:val="20"/>
          <w:szCs w:val="20"/>
        </w:rPr>
        <w:t>I</w:t>
      </w:r>
      <w:r>
        <w:rPr>
          <w:sz w:val="20"/>
          <w:szCs w:val="20"/>
        </w:rPr>
        <w:t>nitial contact is made via the r</w:t>
      </w:r>
      <w:r w:rsidRPr="008673F5">
        <w:rPr>
          <w:sz w:val="20"/>
          <w:szCs w:val="20"/>
        </w:rPr>
        <w:t xml:space="preserve">ecruitment department or the relevant school who will issue a health declaration form to the individual.   </w:t>
      </w:r>
    </w:p>
    <w:p w:rsidR="007263F9" w:rsidRPr="008673F5" w:rsidRDefault="007263F9" w:rsidP="00726219">
      <w:pPr>
        <w:spacing w:before="120"/>
        <w:outlineLvl w:val="0"/>
        <w:rPr>
          <w:sz w:val="20"/>
          <w:szCs w:val="20"/>
        </w:rPr>
      </w:pPr>
      <w:r w:rsidRPr="008673F5">
        <w:rPr>
          <w:sz w:val="20"/>
          <w:szCs w:val="20"/>
        </w:rPr>
        <w:t xml:space="preserve">This should be fully completed with any supplementary information requested attached to the back.  </w:t>
      </w:r>
    </w:p>
    <w:p w:rsidR="007263F9" w:rsidRPr="008673F5" w:rsidRDefault="007263F9" w:rsidP="00726219">
      <w:pPr>
        <w:spacing w:before="120"/>
        <w:rPr>
          <w:sz w:val="20"/>
          <w:szCs w:val="20"/>
        </w:rPr>
      </w:pPr>
      <w:r w:rsidRPr="008673F5">
        <w:rPr>
          <w:sz w:val="20"/>
          <w:szCs w:val="20"/>
        </w:rPr>
        <w:t>The form shou</w:t>
      </w:r>
      <w:r>
        <w:rPr>
          <w:sz w:val="20"/>
          <w:szCs w:val="20"/>
        </w:rPr>
        <w:t>ld be ret</w:t>
      </w:r>
      <w:r w:rsidR="00C775A3">
        <w:rPr>
          <w:sz w:val="20"/>
          <w:szCs w:val="20"/>
        </w:rPr>
        <w:t xml:space="preserve">urned directly to the occupational health team </w:t>
      </w:r>
      <w:r w:rsidRPr="008673F5">
        <w:rPr>
          <w:sz w:val="20"/>
          <w:szCs w:val="20"/>
        </w:rPr>
        <w:t xml:space="preserve">for assessment and marked as </w:t>
      </w:r>
      <w:r>
        <w:rPr>
          <w:sz w:val="20"/>
          <w:szCs w:val="20"/>
        </w:rPr>
        <w:t>‘</w:t>
      </w:r>
      <w:r w:rsidRPr="008673F5">
        <w:rPr>
          <w:sz w:val="20"/>
          <w:szCs w:val="20"/>
        </w:rPr>
        <w:t xml:space="preserve">Private and </w:t>
      </w:r>
      <w:r w:rsidR="001E47DB" w:rsidRPr="008673F5">
        <w:rPr>
          <w:sz w:val="20"/>
          <w:szCs w:val="20"/>
        </w:rPr>
        <w:t>confidential</w:t>
      </w:r>
      <w:r>
        <w:rPr>
          <w:sz w:val="20"/>
          <w:szCs w:val="20"/>
        </w:rPr>
        <w:t>’</w:t>
      </w:r>
      <w:r w:rsidR="006C0769">
        <w:rPr>
          <w:sz w:val="20"/>
          <w:szCs w:val="20"/>
        </w:rPr>
        <w:t xml:space="preserve">. </w:t>
      </w:r>
      <w:r w:rsidRPr="008673F5">
        <w:rPr>
          <w:sz w:val="20"/>
          <w:szCs w:val="20"/>
        </w:rPr>
        <w:t xml:space="preserve">The individual is not expected to discuss the contents with anyone else.  </w:t>
      </w:r>
    </w:p>
    <w:p w:rsidR="007263F9" w:rsidRPr="008673F5" w:rsidRDefault="007263F9" w:rsidP="00726219">
      <w:pPr>
        <w:spacing w:before="120"/>
        <w:rPr>
          <w:sz w:val="20"/>
          <w:szCs w:val="20"/>
        </w:rPr>
      </w:pPr>
      <w:r w:rsidRPr="008673F5">
        <w:rPr>
          <w:sz w:val="20"/>
          <w:szCs w:val="20"/>
        </w:rPr>
        <w:t>The individual will be contacted by telephone or letter if further information is required to support any advice provided to management or academic staff and should it be recommended that additional information is s</w:t>
      </w:r>
      <w:r w:rsidR="00726219">
        <w:rPr>
          <w:sz w:val="20"/>
          <w:szCs w:val="20"/>
        </w:rPr>
        <w:t>u</w:t>
      </w:r>
      <w:r w:rsidRPr="008673F5">
        <w:rPr>
          <w:sz w:val="20"/>
          <w:szCs w:val="20"/>
        </w:rPr>
        <w:t>pplied to management / course leaders your consent will be taken for this.</w:t>
      </w:r>
    </w:p>
    <w:p w:rsidR="007263F9" w:rsidRPr="008673F5" w:rsidRDefault="007263F9" w:rsidP="00726219">
      <w:pPr>
        <w:spacing w:before="120"/>
        <w:rPr>
          <w:sz w:val="20"/>
          <w:szCs w:val="20"/>
        </w:rPr>
      </w:pPr>
      <w:r w:rsidRPr="008673F5">
        <w:rPr>
          <w:sz w:val="20"/>
          <w:szCs w:val="20"/>
        </w:rPr>
        <w:t>Where there is a need to undergo health surveillance, blood tests or vaccinations relevant to the individual’s training course or work this will be advised to their manager or course leader to be implemented when the individual starts work or course of study.</w:t>
      </w:r>
    </w:p>
    <w:p w:rsidR="006C0769" w:rsidRPr="008673F5" w:rsidRDefault="006C0769" w:rsidP="007263F9">
      <w:pPr>
        <w:rPr>
          <w:sz w:val="20"/>
          <w:szCs w:val="20"/>
        </w:rPr>
      </w:pPr>
    </w:p>
    <w:p w:rsidR="007263F9" w:rsidRPr="008673F5" w:rsidRDefault="007263F9" w:rsidP="00026632">
      <w:pPr>
        <w:outlineLvl w:val="0"/>
        <w:rPr>
          <w:b/>
          <w:sz w:val="20"/>
          <w:szCs w:val="20"/>
        </w:rPr>
      </w:pPr>
      <w:bookmarkStart w:id="3" w:name="Appendix_2"/>
      <w:bookmarkEnd w:id="3"/>
      <w:r>
        <w:rPr>
          <w:b/>
          <w:sz w:val="20"/>
          <w:szCs w:val="20"/>
        </w:rPr>
        <w:t>Appendix 2:  provision of advice &amp; referrals to occupational h</w:t>
      </w:r>
      <w:r w:rsidRPr="008673F5">
        <w:rPr>
          <w:b/>
          <w:sz w:val="20"/>
          <w:szCs w:val="20"/>
        </w:rPr>
        <w:t>ealth</w:t>
      </w:r>
    </w:p>
    <w:p w:rsidR="007263F9" w:rsidRPr="008673F5" w:rsidRDefault="007263F9" w:rsidP="007263F9">
      <w:pPr>
        <w:rPr>
          <w:sz w:val="20"/>
          <w:szCs w:val="20"/>
        </w:rPr>
      </w:pPr>
    </w:p>
    <w:p w:rsidR="007263F9" w:rsidRPr="00C775A3" w:rsidRDefault="007263F9" w:rsidP="00026632">
      <w:pPr>
        <w:outlineLvl w:val="0"/>
        <w:rPr>
          <w:b/>
          <w:sz w:val="20"/>
          <w:szCs w:val="20"/>
        </w:rPr>
      </w:pPr>
      <w:r w:rsidRPr="00C775A3">
        <w:rPr>
          <w:b/>
          <w:sz w:val="20"/>
          <w:szCs w:val="20"/>
        </w:rPr>
        <w:t>Referrals by managers and academic staff</w:t>
      </w:r>
    </w:p>
    <w:p w:rsidR="007263F9" w:rsidRPr="008673F5" w:rsidRDefault="007263F9" w:rsidP="006D425B">
      <w:pPr>
        <w:spacing w:before="120"/>
        <w:rPr>
          <w:sz w:val="20"/>
          <w:szCs w:val="20"/>
        </w:rPr>
      </w:pPr>
      <w:r w:rsidRPr="008673F5">
        <w:rPr>
          <w:sz w:val="20"/>
          <w:szCs w:val="20"/>
        </w:rPr>
        <w:t>Written referrals should be made where ther</w:t>
      </w:r>
      <w:r w:rsidR="00C775A3">
        <w:rPr>
          <w:sz w:val="20"/>
          <w:szCs w:val="20"/>
        </w:rPr>
        <w:t>e is a concern regarding health-</w:t>
      </w:r>
      <w:r w:rsidRPr="008673F5">
        <w:rPr>
          <w:sz w:val="20"/>
          <w:szCs w:val="20"/>
        </w:rPr>
        <w:t xml:space="preserve">related to work or work’s impact on health.  The relevant paperwork is available from the Personnel Department, or in the case of student referrals from </w:t>
      </w:r>
      <w:r>
        <w:rPr>
          <w:sz w:val="20"/>
          <w:szCs w:val="20"/>
        </w:rPr>
        <w:t>th</w:t>
      </w:r>
      <w:r w:rsidR="002B0127">
        <w:rPr>
          <w:sz w:val="20"/>
          <w:szCs w:val="20"/>
        </w:rPr>
        <w:t>e OHAT</w:t>
      </w:r>
      <w:r w:rsidRPr="008673F5">
        <w:rPr>
          <w:sz w:val="20"/>
          <w:szCs w:val="20"/>
        </w:rPr>
        <w:t xml:space="preserve">.  </w:t>
      </w:r>
    </w:p>
    <w:p w:rsidR="007263F9" w:rsidRPr="008673F5" w:rsidRDefault="0035394C" w:rsidP="006D425B">
      <w:pPr>
        <w:spacing w:before="120"/>
        <w:rPr>
          <w:sz w:val="20"/>
          <w:szCs w:val="20"/>
        </w:rPr>
      </w:pPr>
      <w:r>
        <w:rPr>
          <w:sz w:val="20"/>
          <w:szCs w:val="20"/>
        </w:rPr>
        <w:t>Referrals will be reviewed by members of the OHAT holding a SCPHN-OH qualification</w:t>
      </w:r>
      <w:r w:rsidR="007263F9" w:rsidRPr="008673F5">
        <w:rPr>
          <w:sz w:val="20"/>
          <w:szCs w:val="20"/>
        </w:rPr>
        <w:t xml:space="preserve">. </w:t>
      </w:r>
    </w:p>
    <w:p w:rsidR="007263F9" w:rsidRPr="00C775A3" w:rsidRDefault="007263F9" w:rsidP="00C775A3">
      <w:pPr>
        <w:spacing w:before="240"/>
        <w:outlineLvl w:val="0"/>
        <w:rPr>
          <w:b/>
          <w:sz w:val="20"/>
          <w:szCs w:val="20"/>
        </w:rPr>
      </w:pPr>
      <w:r w:rsidRPr="00C775A3">
        <w:rPr>
          <w:b/>
          <w:sz w:val="20"/>
          <w:szCs w:val="20"/>
        </w:rPr>
        <w:t>Dignity at work</w:t>
      </w:r>
    </w:p>
    <w:p w:rsidR="007263F9" w:rsidRPr="00C775A3" w:rsidRDefault="007263F9" w:rsidP="006D425B">
      <w:pPr>
        <w:pStyle w:val="Heading2"/>
        <w:spacing w:before="120" w:beforeAutospacing="0" w:after="0" w:afterAutospacing="0"/>
        <w:rPr>
          <w:rFonts w:ascii="Arial" w:hAnsi="Arial" w:cs="Arial"/>
          <w:b w:val="0"/>
          <w:sz w:val="20"/>
          <w:szCs w:val="20"/>
        </w:rPr>
      </w:pPr>
      <w:r w:rsidRPr="00C775A3">
        <w:rPr>
          <w:rFonts w:ascii="Arial" w:hAnsi="Arial" w:cs="Arial"/>
          <w:b w:val="0"/>
          <w:sz w:val="20"/>
          <w:szCs w:val="20"/>
        </w:rPr>
        <w:t>Sta</w:t>
      </w:r>
      <w:r w:rsidR="00C775A3" w:rsidRPr="00C775A3">
        <w:rPr>
          <w:rFonts w:ascii="Arial" w:hAnsi="Arial" w:cs="Arial"/>
          <w:b w:val="0"/>
          <w:sz w:val="20"/>
          <w:szCs w:val="20"/>
        </w:rPr>
        <w:t>ff who have concerns regarding h</w:t>
      </w:r>
      <w:r w:rsidRPr="00C775A3">
        <w:rPr>
          <w:rFonts w:ascii="Arial" w:hAnsi="Arial" w:cs="Arial"/>
          <w:b w:val="0"/>
          <w:sz w:val="20"/>
          <w:szCs w:val="20"/>
        </w:rPr>
        <w:t>arassment or bullying at work should refer to and follow the university</w:t>
      </w:r>
      <w:r w:rsidR="00C775A3" w:rsidRPr="00C775A3">
        <w:rPr>
          <w:rFonts w:ascii="Arial" w:hAnsi="Arial" w:cs="Arial"/>
          <w:b w:val="0"/>
          <w:sz w:val="20"/>
          <w:szCs w:val="20"/>
        </w:rPr>
        <w:t>’s</w:t>
      </w:r>
      <w:bookmarkStart w:id="4" w:name="_Toc298752128"/>
      <w:bookmarkStart w:id="5" w:name="_Toc207168451"/>
      <w:bookmarkStart w:id="6" w:name="_Toc154380377"/>
      <w:bookmarkStart w:id="7" w:name="_Toc152751056"/>
      <w:bookmarkStart w:id="8" w:name="_Toc146679331"/>
      <w:bookmarkStart w:id="9" w:name="_Toc114996675"/>
      <w:bookmarkEnd w:id="4"/>
      <w:bookmarkEnd w:id="5"/>
      <w:bookmarkEnd w:id="6"/>
      <w:bookmarkEnd w:id="7"/>
      <w:bookmarkEnd w:id="8"/>
      <w:bookmarkEnd w:id="9"/>
      <w:r w:rsidR="00C775A3">
        <w:rPr>
          <w:rFonts w:ascii="Arial" w:hAnsi="Arial" w:cs="Arial"/>
          <w:b w:val="0"/>
          <w:sz w:val="20"/>
          <w:szCs w:val="20"/>
        </w:rPr>
        <w:t xml:space="preserve"> ‘</w:t>
      </w:r>
      <w:hyperlink r:id="rId7" w:history="1">
        <w:r w:rsidR="00C775A3" w:rsidRPr="00C775A3">
          <w:rPr>
            <w:rStyle w:val="Hyperlink"/>
            <w:rFonts w:ascii="Arial" w:hAnsi="Arial" w:cs="Arial"/>
            <w:b w:val="0"/>
            <w:sz w:val="20"/>
            <w:szCs w:val="20"/>
          </w:rPr>
          <w:t>Dignity at Work - Good Practice Guide and Procedure on Dealing with Bullying and Harassment in the Workplace</w:t>
        </w:r>
      </w:hyperlink>
      <w:r w:rsidR="00C775A3">
        <w:rPr>
          <w:rFonts w:ascii="Arial" w:hAnsi="Arial" w:cs="Arial"/>
          <w:b w:val="0"/>
          <w:sz w:val="20"/>
          <w:szCs w:val="20"/>
        </w:rPr>
        <w:t>’</w:t>
      </w:r>
    </w:p>
    <w:p w:rsidR="007263F9" w:rsidRDefault="007263F9" w:rsidP="007263F9">
      <w:pPr>
        <w:rPr>
          <w:sz w:val="20"/>
          <w:szCs w:val="20"/>
        </w:rPr>
      </w:pPr>
    </w:p>
    <w:p w:rsidR="007263F9" w:rsidRPr="00C775A3" w:rsidRDefault="007263F9" w:rsidP="00026632">
      <w:pPr>
        <w:outlineLvl w:val="0"/>
        <w:rPr>
          <w:b/>
          <w:sz w:val="20"/>
          <w:szCs w:val="20"/>
        </w:rPr>
      </w:pPr>
      <w:r w:rsidRPr="00C775A3">
        <w:rPr>
          <w:b/>
          <w:sz w:val="20"/>
          <w:szCs w:val="20"/>
        </w:rPr>
        <w:t>Counselling provisions</w:t>
      </w:r>
    </w:p>
    <w:p w:rsidR="007263F9" w:rsidRPr="008673F5" w:rsidRDefault="0035394C" w:rsidP="006D425B">
      <w:pPr>
        <w:spacing w:before="120"/>
        <w:rPr>
          <w:sz w:val="20"/>
          <w:szCs w:val="20"/>
        </w:rPr>
      </w:pPr>
      <w:r>
        <w:rPr>
          <w:sz w:val="20"/>
          <w:szCs w:val="20"/>
        </w:rPr>
        <w:t xml:space="preserve">Where it </w:t>
      </w:r>
      <w:r w:rsidR="00056013">
        <w:rPr>
          <w:sz w:val="20"/>
          <w:szCs w:val="20"/>
        </w:rPr>
        <w:t xml:space="preserve">is deemed appropriate by the OHM or OHNAs, employees or students </w:t>
      </w:r>
      <w:r w:rsidR="007263F9" w:rsidRPr="008673F5">
        <w:rPr>
          <w:sz w:val="20"/>
          <w:szCs w:val="20"/>
        </w:rPr>
        <w:t xml:space="preserve">experiencing personal or work-based problems can be offered access to confidential counselling services.   </w:t>
      </w:r>
    </w:p>
    <w:p w:rsidR="007263F9" w:rsidRPr="008673F5" w:rsidRDefault="007263F9" w:rsidP="007263F9">
      <w:pPr>
        <w:rPr>
          <w:sz w:val="20"/>
          <w:szCs w:val="20"/>
        </w:rPr>
      </w:pPr>
      <w:r w:rsidRPr="008673F5">
        <w:rPr>
          <w:sz w:val="20"/>
          <w:szCs w:val="20"/>
        </w:rPr>
        <w:t xml:space="preserve"> </w:t>
      </w:r>
    </w:p>
    <w:p w:rsidR="007263F9" w:rsidRPr="00726219" w:rsidRDefault="007263F9" w:rsidP="00026632">
      <w:pPr>
        <w:outlineLvl w:val="0"/>
        <w:rPr>
          <w:b/>
          <w:sz w:val="20"/>
          <w:szCs w:val="20"/>
        </w:rPr>
      </w:pPr>
      <w:r w:rsidRPr="00726219">
        <w:rPr>
          <w:b/>
          <w:sz w:val="20"/>
          <w:szCs w:val="20"/>
        </w:rPr>
        <w:lastRenderedPageBreak/>
        <w:t>Self referrals</w:t>
      </w:r>
    </w:p>
    <w:p w:rsidR="007263F9" w:rsidRPr="008673F5" w:rsidRDefault="007263F9" w:rsidP="006D425B">
      <w:pPr>
        <w:spacing w:before="120"/>
        <w:rPr>
          <w:sz w:val="20"/>
          <w:szCs w:val="20"/>
        </w:rPr>
      </w:pPr>
      <w:r w:rsidRPr="008673F5">
        <w:rPr>
          <w:sz w:val="20"/>
          <w:szCs w:val="20"/>
        </w:rPr>
        <w:t xml:space="preserve">Staff concerned that their work may be affecting their health or health affecting their work can </w:t>
      </w:r>
      <w:r>
        <w:rPr>
          <w:sz w:val="20"/>
          <w:szCs w:val="20"/>
        </w:rPr>
        <w:t>ref</w:t>
      </w:r>
      <w:r w:rsidR="00726219">
        <w:rPr>
          <w:sz w:val="20"/>
          <w:szCs w:val="20"/>
        </w:rPr>
        <w:t xml:space="preserve">er to members of the occupational health team </w:t>
      </w:r>
      <w:r w:rsidRPr="008673F5">
        <w:rPr>
          <w:sz w:val="20"/>
          <w:szCs w:val="20"/>
        </w:rPr>
        <w:t xml:space="preserve">by email or telephone and will be given an appointment at the first available opportunity.  It is not normally possible to operate a drop in service for self referrals.  </w:t>
      </w:r>
    </w:p>
    <w:p w:rsidR="007263F9" w:rsidRPr="008673F5" w:rsidRDefault="00726219" w:rsidP="006D425B">
      <w:pPr>
        <w:spacing w:before="120"/>
        <w:rPr>
          <w:sz w:val="20"/>
          <w:szCs w:val="20"/>
        </w:rPr>
      </w:pPr>
      <w:r>
        <w:rPr>
          <w:sz w:val="20"/>
          <w:szCs w:val="20"/>
        </w:rPr>
        <w:t xml:space="preserve">The OHAT </w:t>
      </w:r>
      <w:r w:rsidR="007263F9" w:rsidRPr="008673F5">
        <w:rPr>
          <w:sz w:val="20"/>
          <w:szCs w:val="20"/>
        </w:rPr>
        <w:t>will be able to take simple information from enquirers to ch</w:t>
      </w:r>
      <w:r>
        <w:rPr>
          <w:sz w:val="20"/>
          <w:szCs w:val="20"/>
        </w:rPr>
        <w:t xml:space="preserve">eck whether occupational health is </w:t>
      </w:r>
      <w:r w:rsidR="007263F9" w:rsidRPr="008673F5">
        <w:rPr>
          <w:sz w:val="20"/>
          <w:szCs w:val="20"/>
        </w:rPr>
        <w:t xml:space="preserve">the most appropriate route to deal with the problem.  This is aimed to avoid any delays in treatment </w:t>
      </w:r>
      <w:r w:rsidR="007263F9">
        <w:rPr>
          <w:sz w:val="20"/>
          <w:szCs w:val="20"/>
        </w:rPr>
        <w:t>that should be sourced from general practitioners</w:t>
      </w:r>
      <w:r w:rsidR="007263F9" w:rsidRPr="008673F5">
        <w:rPr>
          <w:sz w:val="20"/>
          <w:szCs w:val="20"/>
        </w:rPr>
        <w:t>.</w:t>
      </w:r>
    </w:p>
    <w:p w:rsidR="007263F9" w:rsidRPr="008673F5" w:rsidRDefault="007263F9" w:rsidP="006D425B">
      <w:pPr>
        <w:spacing w:before="120"/>
        <w:rPr>
          <w:sz w:val="20"/>
          <w:szCs w:val="20"/>
        </w:rPr>
      </w:pPr>
      <w:r w:rsidRPr="008673F5">
        <w:rPr>
          <w:sz w:val="20"/>
          <w:szCs w:val="20"/>
        </w:rPr>
        <w:t>Staff and students must be aware that if, as the result of a self referral, it is identified that there is a significant risk to the health of themselves or other</w:t>
      </w:r>
      <w:r w:rsidR="00726219">
        <w:rPr>
          <w:sz w:val="20"/>
          <w:szCs w:val="20"/>
        </w:rPr>
        <w:t xml:space="preserve">s, the occupational health team </w:t>
      </w:r>
      <w:r>
        <w:rPr>
          <w:sz w:val="20"/>
          <w:szCs w:val="20"/>
        </w:rPr>
        <w:t xml:space="preserve">is </w:t>
      </w:r>
      <w:r w:rsidRPr="008673F5">
        <w:rPr>
          <w:sz w:val="20"/>
          <w:szCs w:val="20"/>
        </w:rPr>
        <w:t>u</w:t>
      </w:r>
      <w:r>
        <w:rPr>
          <w:sz w:val="20"/>
          <w:szCs w:val="20"/>
        </w:rPr>
        <w:t>nder an obligation to make the u</w:t>
      </w:r>
      <w:r w:rsidRPr="008673F5">
        <w:rPr>
          <w:sz w:val="20"/>
          <w:szCs w:val="20"/>
        </w:rPr>
        <w:t>niversity’s management aware of this.  If the individual is not in agreement with this course of acti</w:t>
      </w:r>
      <w:r w:rsidR="00726219">
        <w:rPr>
          <w:sz w:val="20"/>
          <w:szCs w:val="20"/>
        </w:rPr>
        <w:t xml:space="preserve">on the occupational health team </w:t>
      </w:r>
      <w:r w:rsidRPr="008673F5">
        <w:rPr>
          <w:sz w:val="20"/>
          <w:szCs w:val="20"/>
        </w:rPr>
        <w:t>member</w:t>
      </w:r>
      <w:r w:rsidR="00726219">
        <w:rPr>
          <w:sz w:val="20"/>
          <w:szCs w:val="20"/>
        </w:rPr>
        <w:t xml:space="preserve"> </w:t>
      </w:r>
      <w:r w:rsidRPr="008673F5">
        <w:rPr>
          <w:sz w:val="20"/>
          <w:szCs w:val="20"/>
        </w:rPr>
        <w:t>will consult with his or her relevant professional body before taking any further action and the individual will be advised of the outcome.</w:t>
      </w:r>
    </w:p>
    <w:p w:rsidR="007263F9" w:rsidRPr="008673F5" w:rsidRDefault="007263F9" w:rsidP="007263F9">
      <w:pPr>
        <w:rPr>
          <w:sz w:val="20"/>
          <w:szCs w:val="20"/>
        </w:rPr>
      </w:pPr>
    </w:p>
    <w:p w:rsidR="007263F9" w:rsidRPr="00726219" w:rsidRDefault="007263F9" w:rsidP="00026632">
      <w:pPr>
        <w:outlineLvl w:val="0"/>
        <w:rPr>
          <w:b/>
          <w:sz w:val="20"/>
          <w:szCs w:val="20"/>
        </w:rPr>
      </w:pPr>
      <w:r w:rsidRPr="00726219">
        <w:rPr>
          <w:b/>
          <w:sz w:val="20"/>
          <w:szCs w:val="20"/>
        </w:rPr>
        <w:t>Advice on work-related health matters</w:t>
      </w:r>
    </w:p>
    <w:p w:rsidR="007263F9" w:rsidRPr="008673F5" w:rsidRDefault="007263F9" w:rsidP="006D425B">
      <w:pPr>
        <w:spacing w:before="120"/>
        <w:rPr>
          <w:sz w:val="20"/>
          <w:szCs w:val="20"/>
        </w:rPr>
      </w:pPr>
      <w:r w:rsidRPr="008673F5">
        <w:rPr>
          <w:sz w:val="20"/>
          <w:szCs w:val="20"/>
        </w:rPr>
        <w:t>Any staff</w:t>
      </w:r>
      <w:r>
        <w:rPr>
          <w:sz w:val="20"/>
          <w:szCs w:val="20"/>
        </w:rPr>
        <w:t xml:space="preserve"> or managers can ask the department</w:t>
      </w:r>
      <w:r w:rsidRPr="008673F5">
        <w:rPr>
          <w:sz w:val="20"/>
          <w:szCs w:val="20"/>
        </w:rPr>
        <w:t xml:space="preserve"> for advice regarding work related ill health and following any injuries sustained in the course of work, hea</w:t>
      </w:r>
      <w:r w:rsidR="00726219">
        <w:rPr>
          <w:sz w:val="20"/>
          <w:szCs w:val="20"/>
        </w:rPr>
        <w:t>lth surveillance issues or work-</w:t>
      </w:r>
      <w:r w:rsidRPr="008673F5">
        <w:rPr>
          <w:sz w:val="20"/>
          <w:szCs w:val="20"/>
        </w:rPr>
        <w:t>related travel health.</w:t>
      </w:r>
    </w:p>
    <w:p w:rsidR="007263F9" w:rsidRPr="008673F5" w:rsidRDefault="007263F9" w:rsidP="007263F9">
      <w:pPr>
        <w:rPr>
          <w:sz w:val="20"/>
          <w:szCs w:val="20"/>
        </w:rPr>
      </w:pPr>
    </w:p>
    <w:p w:rsidR="007263F9" w:rsidRPr="00726219" w:rsidRDefault="007263F9" w:rsidP="00026632">
      <w:pPr>
        <w:outlineLvl w:val="0"/>
        <w:rPr>
          <w:b/>
          <w:sz w:val="20"/>
          <w:szCs w:val="20"/>
        </w:rPr>
      </w:pPr>
      <w:r w:rsidRPr="00726219">
        <w:rPr>
          <w:b/>
          <w:sz w:val="20"/>
          <w:szCs w:val="20"/>
        </w:rPr>
        <w:t>Health promotion</w:t>
      </w:r>
    </w:p>
    <w:p w:rsidR="007263F9" w:rsidRPr="008673F5" w:rsidRDefault="00726219" w:rsidP="006D425B">
      <w:pPr>
        <w:spacing w:before="120"/>
        <w:rPr>
          <w:sz w:val="20"/>
          <w:szCs w:val="20"/>
        </w:rPr>
      </w:pPr>
      <w:r>
        <w:rPr>
          <w:sz w:val="20"/>
          <w:szCs w:val="20"/>
        </w:rPr>
        <w:t xml:space="preserve">The occupational health team </w:t>
      </w:r>
      <w:r w:rsidR="007263F9" w:rsidRPr="008673F5">
        <w:rPr>
          <w:sz w:val="20"/>
          <w:szCs w:val="20"/>
        </w:rPr>
        <w:t>is involved in initiatives and strategies</w:t>
      </w:r>
      <w:r>
        <w:rPr>
          <w:sz w:val="20"/>
          <w:szCs w:val="20"/>
        </w:rPr>
        <w:t xml:space="preserve"> relating to staff and student </w:t>
      </w:r>
      <w:r w:rsidR="007263F9" w:rsidRPr="008673F5">
        <w:rPr>
          <w:sz w:val="20"/>
          <w:szCs w:val="20"/>
        </w:rPr>
        <w:t>health promotion and health education.  This will include health and safety induction course, stress awareness sessions, occupational health talks to students r</w:t>
      </w:r>
      <w:r>
        <w:rPr>
          <w:sz w:val="20"/>
          <w:szCs w:val="20"/>
        </w:rPr>
        <w:t>egarding vaccinations and blood-</w:t>
      </w:r>
      <w:r w:rsidR="007263F9" w:rsidRPr="008673F5">
        <w:rPr>
          <w:sz w:val="20"/>
          <w:szCs w:val="20"/>
        </w:rPr>
        <w:t xml:space="preserve">borne viruses. </w:t>
      </w:r>
    </w:p>
    <w:p w:rsidR="007263F9" w:rsidRPr="008673F5" w:rsidRDefault="007263F9" w:rsidP="007263F9">
      <w:pPr>
        <w:rPr>
          <w:sz w:val="20"/>
          <w:szCs w:val="20"/>
        </w:rPr>
      </w:pPr>
    </w:p>
    <w:p w:rsidR="007263F9" w:rsidRPr="008673F5" w:rsidRDefault="007263F9" w:rsidP="00026632">
      <w:pPr>
        <w:outlineLvl w:val="0"/>
        <w:rPr>
          <w:b/>
          <w:sz w:val="20"/>
          <w:szCs w:val="20"/>
        </w:rPr>
      </w:pPr>
      <w:bookmarkStart w:id="10" w:name="Appendix_3"/>
      <w:bookmarkEnd w:id="10"/>
      <w:r>
        <w:rPr>
          <w:b/>
          <w:sz w:val="20"/>
          <w:szCs w:val="20"/>
        </w:rPr>
        <w:t>Appendix</w:t>
      </w:r>
      <w:r w:rsidR="00726219">
        <w:rPr>
          <w:b/>
          <w:sz w:val="20"/>
          <w:szCs w:val="20"/>
        </w:rPr>
        <w:t xml:space="preserve"> 3: vaccinations, blood tests and </w:t>
      </w:r>
      <w:r>
        <w:rPr>
          <w:b/>
          <w:sz w:val="20"/>
          <w:szCs w:val="20"/>
        </w:rPr>
        <w:t>body fluid contamination i</w:t>
      </w:r>
      <w:r w:rsidRPr="008673F5">
        <w:rPr>
          <w:b/>
          <w:sz w:val="20"/>
          <w:szCs w:val="20"/>
        </w:rPr>
        <w:t xml:space="preserve">ncidents </w:t>
      </w:r>
    </w:p>
    <w:p w:rsidR="007263F9" w:rsidRPr="008673F5" w:rsidRDefault="007263F9" w:rsidP="006D425B">
      <w:pPr>
        <w:spacing w:before="120"/>
        <w:rPr>
          <w:sz w:val="20"/>
          <w:szCs w:val="20"/>
        </w:rPr>
      </w:pPr>
      <w:r w:rsidRPr="008673F5">
        <w:rPr>
          <w:sz w:val="20"/>
          <w:szCs w:val="20"/>
        </w:rPr>
        <w:t>Students undertaking health studies courses and certain other staff of the university will be recommended to undergo v</w:t>
      </w:r>
      <w:r w:rsidR="00726219">
        <w:rPr>
          <w:sz w:val="20"/>
          <w:szCs w:val="20"/>
        </w:rPr>
        <w:t>accination relevant to the work-</w:t>
      </w:r>
      <w:r w:rsidRPr="008673F5">
        <w:rPr>
          <w:sz w:val="20"/>
          <w:szCs w:val="20"/>
        </w:rPr>
        <w:t xml:space="preserve">based health risks that they may encounter.  These are based on current Department of Health guidance and local risk assessment.  </w:t>
      </w:r>
    </w:p>
    <w:p w:rsidR="007263F9" w:rsidRPr="008673F5" w:rsidRDefault="007263F9" w:rsidP="006D425B">
      <w:pPr>
        <w:spacing w:before="120"/>
        <w:rPr>
          <w:sz w:val="20"/>
          <w:szCs w:val="20"/>
        </w:rPr>
      </w:pPr>
      <w:r w:rsidRPr="008673F5">
        <w:rPr>
          <w:sz w:val="20"/>
          <w:szCs w:val="20"/>
        </w:rPr>
        <w:t xml:space="preserve">Advice regarding what applies will be provided </w:t>
      </w:r>
      <w:r w:rsidR="00726219">
        <w:rPr>
          <w:sz w:val="20"/>
          <w:szCs w:val="20"/>
        </w:rPr>
        <w:t xml:space="preserve">by the occupational health team </w:t>
      </w:r>
      <w:r w:rsidRPr="008673F5">
        <w:rPr>
          <w:sz w:val="20"/>
          <w:szCs w:val="20"/>
        </w:rPr>
        <w:t>and any individual in doubt should speak to their line man</w:t>
      </w:r>
      <w:r w:rsidR="00726219">
        <w:rPr>
          <w:sz w:val="20"/>
          <w:szCs w:val="20"/>
        </w:rPr>
        <w:t xml:space="preserve">ager or course leader about any </w:t>
      </w:r>
      <w:r w:rsidRPr="008673F5">
        <w:rPr>
          <w:sz w:val="20"/>
          <w:szCs w:val="20"/>
        </w:rPr>
        <w:t xml:space="preserve">particular hazards they think they may need protection from in the course of their work.  </w:t>
      </w:r>
    </w:p>
    <w:p w:rsidR="007263F9" w:rsidRPr="008673F5" w:rsidRDefault="007263F9" w:rsidP="006D425B">
      <w:pPr>
        <w:spacing w:before="120"/>
        <w:rPr>
          <w:sz w:val="20"/>
          <w:szCs w:val="20"/>
        </w:rPr>
      </w:pPr>
      <w:r w:rsidRPr="008673F5">
        <w:rPr>
          <w:sz w:val="20"/>
          <w:szCs w:val="20"/>
        </w:rPr>
        <w:t>Body fluid contamination incidents (including sharps injuries) should always be d</w:t>
      </w:r>
      <w:r>
        <w:rPr>
          <w:sz w:val="20"/>
          <w:szCs w:val="20"/>
        </w:rPr>
        <w:t>iscussed with the department</w:t>
      </w:r>
      <w:r w:rsidRPr="008673F5">
        <w:rPr>
          <w:sz w:val="20"/>
          <w:szCs w:val="20"/>
        </w:rPr>
        <w:t xml:space="preserve"> as a matter of urgency </w:t>
      </w:r>
      <w:r w:rsidR="00726219">
        <w:rPr>
          <w:sz w:val="20"/>
          <w:szCs w:val="20"/>
        </w:rPr>
        <w:t>(</w:t>
      </w:r>
      <w:r w:rsidRPr="008673F5">
        <w:rPr>
          <w:sz w:val="20"/>
          <w:szCs w:val="20"/>
        </w:rPr>
        <w:t>i.e. as soon as the incident occurs</w:t>
      </w:r>
      <w:r w:rsidR="00726219">
        <w:rPr>
          <w:sz w:val="20"/>
          <w:szCs w:val="20"/>
        </w:rPr>
        <w:t>)</w:t>
      </w:r>
      <w:r w:rsidRPr="008673F5">
        <w:rPr>
          <w:sz w:val="20"/>
          <w:szCs w:val="20"/>
        </w:rPr>
        <w:t xml:space="preserve">.  </w:t>
      </w:r>
    </w:p>
    <w:p w:rsidR="007263F9" w:rsidRPr="008673F5" w:rsidRDefault="007263F9" w:rsidP="006D425B">
      <w:pPr>
        <w:spacing w:before="120"/>
        <w:rPr>
          <w:sz w:val="20"/>
          <w:szCs w:val="20"/>
        </w:rPr>
      </w:pPr>
      <w:r w:rsidRPr="008673F5">
        <w:rPr>
          <w:sz w:val="20"/>
          <w:szCs w:val="20"/>
        </w:rPr>
        <w:t>Where students are on a clinical placement</w:t>
      </w:r>
      <w:r>
        <w:rPr>
          <w:sz w:val="20"/>
          <w:szCs w:val="20"/>
        </w:rPr>
        <w:t xml:space="preserve"> either</w:t>
      </w:r>
      <w:r w:rsidR="00726219">
        <w:rPr>
          <w:sz w:val="20"/>
          <w:szCs w:val="20"/>
        </w:rPr>
        <w:t xml:space="preserve"> on or away from </w:t>
      </w:r>
      <w:proofErr w:type="spellStart"/>
      <w:r w:rsidR="00726219">
        <w:rPr>
          <w:sz w:val="20"/>
          <w:szCs w:val="20"/>
        </w:rPr>
        <w:t>Queensgate</w:t>
      </w:r>
      <w:proofErr w:type="spellEnd"/>
      <w:r w:rsidR="00726219">
        <w:rPr>
          <w:sz w:val="20"/>
          <w:szCs w:val="20"/>
        </w:rPr>
        <w:t xml:space="preserve"> campus </w:t>
      </w:r>
      <w:r w:rsidRPr="008673F5">
        <w:rPr>
          <w:sz w:val="20"/>
          <w:szCs w:val="20"/>
        </w:rPr>
        <w:t>they should make themselves familiar with local policy before the placement starts and follow this in the event of any inci</w:t>
      </w:r>
      <w:r>
        <w:rPr>
          <w:sz w:val="20"/>
          <w:szCs w:val="20"/>
        </w:rPr>
        <w:t>den</w:t>
      </w:r>
      <w:r w:rsidR="00726219">
        <w:rPr>
          <w:sz w:val="20"/>
          <w:szCs w:val="20"/>
        </w:rPr>
        <w:t xml:space="preserve">t advising it to the occupational health </w:t>
      </w:r>
      <w:r w:rsidRPr="008673F5">
        <w:rPr>
          <w:sz w:val="20"/>
          <w:szCs w:val="20"/>
        </w:rPr>
        <w:t>after initial action has taken place.</w:t>
      </w:r>
    </w:p>
    <w:p w:rsidR="007263F9" w:rsidRPr="008673F5" w:rsidRDefault="007263F9" w:rsidP="006D425B">
      <w:pPr>
        <w:spacing w:before="120"/>
        <w:rPr>
          <w:sz w:val="20"/>
          <w:szCs w:val="20"/>
        </w:rPr>
      </w:pPr>
      <w:r w:rsidRPr="008673F5">
        <w:rPr>
          <w:sz w:val="20"/>
          <w:szCs w:val="20"/>
        </w:rPr>
        <w:t>University staff who may come into contact with body fluids or sharps (may include used needles) in the course of their work should make themselves familiar with their departmental guidelines.</w:t>
      </w:r>
    </w:p>
    <w:p w:rsidR="007263F9" w:rsidRPr="008673F5" w:rsidRDefault="007263F9" w:rsidP="007263F9">
      <w:pPr>
        <w:rPr>
          <w:sz w:val="20"/>
          <w:szCs w:val="20"/>
        </w:rPr>
      </w:pPr>
    </w:p>
    <w:p w:rsidR="00F06748" w:rsidRDefault="00F06748"/>
    <w:sectPr w:rsidR="00F06748" w:rsidSect="0067630C">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64A" w:rsidRDefault="0032164A">
      <w:r>
        <w:separator/>
      </w:r>
    </w:p>
  </w:endnote>
  <w:endnote w:type="continuationSeparator" w:id="0">
    <w:p w:rsidR="0032164A" w:rsidRDefault="0032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65" w:rsidRDefault="00261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65" w:rsidRDefault="00261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65" w:rsidRDefault="00261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64A" w:rsidRDefault="0032164A">
      <w:r>
        <w:separator/>
      </w:r>
    </w:p>
  </w:footnote>
  <w:footnote w:type="continuationSeparator" w:id="0">
    <w:p w:rsidR="0032164A" w:rsidRDefault="00321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65" w:rsidRDefault="00261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19" w:rsidRPr="00026632" w:rsidRDefault="00442185">
    <w:pPr>
      <w:pStyle w:val="Header"/>
      <w:rPr>
        <w:sz w:val="20"/>
        <w:szCs w:val="20"/>
      </w:rPr>
    </w:pPr>
    <w:r>
      <w:rPr>
        <w:sz w:val="20"/>
        <w:szCs w:val="20"/>
        <w:highlight w:val="lightGray"/>
      </w:rPr>
      <w:t>Version: June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65" w:rsidRDefault="00261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4D"/>
    <w:multiLevelType w:val="hybridMultilevel"/>
    <w:tmpl w:val="57C0F396"/>
    <w:lvl w:ilvl="0" w:tplc="A0021122">
      <w:start w:val="3"/>
      <w:numFmt w:val="lowerLetter"/>
      <w:lvlText w:val="(%1)"/>
      <w:lvlJc w:val="left"/>
      <w:pPr>
        <w:tabs>
          <w:tab w:val="num" w:pos="851"/>
        </w:tabs>
        <w:ind w:left="851" w:hanging="851"/>
      </w:pPr>
      <w:rPr>
        <w:rFonts w:ascii="Arial" w:hAnsi="Arial" w:hint="default"/>
        <w:b w:val="0"/>
        <w:i w:val="0"/>
        <w:color w:val="auto"/>
        <w:sz w:val="20"/>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6F854D1"/>
    <w:multiLevelType w:val="hybridMultilevel"/>
    <w:tmpl w:val="48184C02"/>
    <w:lvl w:ilvl="0" w:tplc="33386F22">
      <w:start w:val="1"/>
      <w:numFmt w:val="lowerLetter"/>
      <w:lvlText w:val="(%1)"/>
      <w:lvlJc w:val="left"/>
      <w:pPr>
        <w:tabs>
          <w:tab w:val="num" w:pos="851"/>
        </w:tabs>
        <w:ind w:left="851" w:hanging="851"/>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37D6EEA"/>
    <w:multiLevelType w:val="hybridMultilevel"/>
    <w:tmpl w:val="A22AB748"/>
    <w:lvl w:ilvl="0" w:tplc="5C221FC4">
      <w:start w:val="1"/>
      <w:numFmt w:val="lowerLetter"/>
      <w:lvlText w:val="(%1)"/>
      <w:lvlJc w:val="left"/>
      <w:pPr>
        <w:tabs>
          <w:tab w:val="num" w:pos="851"/>
        </w:tabs>
        <w:ind w:left="851" w:hanging="851"/>
      </w:pPr>
      <w:rPr>
        <w:rFonts w:ascii="Arial" w:hAnsi="Arial" w:hint="default"/>
        <w:b w:val="0"/>
        <w:i w:val="0"/>
        <w:color w:val="auto"/>
        <w:sz w:val="20"/>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6B32F02"/>
    <w:multiLevelType w:val="hybridMultilevel"/>
    <w:tmpl w:val="478C34D6"/>
    <w:lvl w:ilvl="0" w:tplc="098A7178">
      <w:start w:val="1"/>
      <w:numFmt w:val="lowerLetter"/>
      <w:lvlText w:val="(%1)"/>
      <w:lvlJc w:val="left"/>
      <w:pPr>
        <w:tabs>
          <w:tab w:val="num" w:pos="851"/>
        </w:tabs>
        <w:ind w:left="851" w:hanging="85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C315D5A"/>
    <w:multiLevelType w:val="hybridMultilevel"/>
    <w:tmpl w:val="B56CA57E"/>
    <w:lvl w:ilvl="0" w:tplc="C3960472">
      <w:start w:val="1"/>
      <w:numFmt w:val="lowerRoman"/>
      <w:lvlText w:val="(%1)"/>
      <w:lvlJc w:val="left"/>
      <w:pPr>
        <w:tabs>
          <w:tab w:val="num" w:pos="1418"/>
        </w:tabs>
        <w:ind w:left="1418" w:hanging="567"/>
      </w:pPr>
      <w:rPr>
        <w:rFonts w:hint="default"/>
      </w:rPr>
    </w:lvl>
    <w:lvl w:ilvl="1" w:tplc="0610159A">
      <w:start w:val="3"/>
      <w:numFmt w:val="lowerLetter"/>
      <w:lvlText w:val="(%2)"/>
      <w:lvlJc w:val="left"/>
      <w:pPr>
        <w:tabs>
          <w:tab w:val="num" w:pos="1418"/>
        </w:tabs>
        <w:ind w:left="1418" w:hanging="567"/>
      </w:pPr>
      <w:rPr>
        <w:rFonts w:hint="default"/>
        <w:sz w:val="24"/>
        <w:szCs w:val="24"/>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C844D3E"/>
    <w:multiLevelType w:val="hybridMultilevel"/>
    <w:tmpl w:val="0DD852A2"/>
    <w:lvl w:ilvl="0" w:tplc="ADF65026">
      <w:start w:val="1"/>
      <w:numFmt w:val="lowerLetter"/>
      <w:lvlText w:val="(%1)"/>
      <w:lvlJc w:val="left"/>
      <w:pPr>
        <w:tabs>
          <w:tab w:val="num" w:pos="851"/>
        </w:tabs>
        <w:ind w:left="851" w:hanging="851"/>
      </w:pPr>
      <w:rPr>
        <w:rFonts w:ascii="Arial" w:hAnsi="Arial"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3F9"/>
    <w:rsid w:val="00026632"/>
    <w:rsid w:val="000418D9"/>
    <w:rsid w:val="000450A9"/>
    <w:rsid w:val="00051D65"/>
    <w:rsid w:val="00055B49"/>
    <w:rsid w:val="00056013"/>
    <w:rsid w:val="0006325A"/>
    <w:rsid w:val="00065D37"/>
    <w:rsid w:val="000C0BD8"/>
    <w:rsid w:val="001A180E"/>
    <w:rsid w:val="001E47DB"/>
    <w:rsid w:val="00261D65"/>
    <w:rsid w:val="002844C5"/>
    <w:rsid w:val="002B0127"/>
    <w:rsid w:val="0032164A"/>
    <w:rsid w:val="0035394C"/>
    <w:rsid w:val="00353D60"/>
    <w:rsid w:val="00367B49"/>
    <w:rsid w:val="003C36ED"/>
    <w:rsid w:val="00442185"/>
    <w:rsid w:val="00472E89"/>
    <w:rsid w:val="00490704"/>
    <w:rsid w:val="004F4452"/>
    <w:rsid w:val="00553B2C"/>
    <w:rsid w:val="0055790E"/>
    <w:rsid w:val="00595938"/>
    <w:rsid w:val="00596A83"/>
    <w:rsid w:val="00603652"/>
    <w:rsid w:val="00613BF9"/>
    <w:rsid w:val="00641CBE"/>
    <w:rsid w:val="0067630C"/>
    <w:rsid w:val="006A62C5"/>
    <w:rsid w:val="006B3AED"/>
    <w:rsid w:val="006C0769"/>
    <w:rsid w:val="006D425B"/>
    <w:rsid w:val="00701316"/>
    <w:rsid w:val="00726219"/>
    <w:rsid w:val="007263F9"/>
    <w:rsid w:val="00727CFC"/>
    <w:rsid w:val="00757192"/>
    <w:rsid w:val="007E6381"/>
    <w:rsid w:val="007F61BC"/>
    <w:rsid w:val="008674B5"/>
    <w:rsid w:val="008850E7"/>
    <w:rsid w:val="0089724E"/>
    <w:rsid w:val="008C104D"/>
    <w:rsid w:val="009A39E3"/>
    <w:rsid w:val="009D5830"/>
    <w:rsid w:val="009F7A38"/>
    <w:rsid w:val="00AC2ED3"/>
    <w:rsid w:val="00B00591"/>
    <w:rsid w:val="00B32EEE"/>
    <w:rsid w:val="00B42D42"/>
    <w:rsid w:val="00B90C4B"/>
    <w:rsid w:val="00BD2623"/>
    <w:rsid w:val="00C4469D"/>
    <w:rsid w:val="00C775A3"/>
    <w:rsid w:val="00C86F3E"/>
    <w:rsid w:val="00D00310"/>
    <w:rsid w:val="00D003EA"/>
    <w:rsid w:val="00D17AE8"/>
    <w:rsid w:val="00D5456F"/>
    <w:rsid w:val="00DB47D7"/>
    <w:rsid w:val="00DD13B5"/>
    <w:rsid w:val="00DF4333"/>
    <w:rsid w:val="00E06B2A"/>
    <w:rsid w:val="00E4045F"/>
    <w:rsid w:val="00E82141"/>
    <w:rsid w:val="00EC0B60"/>
    <w:rsid w:val="00F06748"/>
    <w:rsid w:val="00F26727"/>
    <w:rsid w:val="00F35A69"/>
    <w:rsid w:val="00F51393"/>
    <w:rsid w:val="00F62FA6"/>
    <w:rsid w:val="00F64E65"/>
    <w:rsid w:val="00F661D7"/>
    <w:rsid w:val="00F9296A"/>
    <w:rsid w:val="00FD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F861731-DE33-419A-A477-D5E9C88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3F9"/>
    <w:rPr>
      <w:rFonts w:ascii="Arial" w:hAnsi="Arial" w:cs="Arial"/>
      <w:sz w:val="24"/>
      <w:szCs w:val="24"/>
      <w:lang w:val="en-US" w:eastAsia="en-US"/>
    </w:rPr>
  </w:style>
  <w:style w:type="paragraph" w:styleId="Heading2">
    <w:name w:val="heading 2"/>
    <w:basedOn w:val="Normal"/>
    <w:link w:val="Heading2Char"/>
    <w:uiPriority w:val="9"/>
    <w:qFormat/>
    <w:rsid w:val="00C775A3"/>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26632"/>
    <w:pPr>
      <w:shd w:val="clear" w:color="auto" w:fill="000080"/>
    </w:pPr>
    <w:rPr>
      <w:rFonts w:ascii="Tahoma" w:hAnsi="Tahoma" w:cs="Tahoma"/>
      <w:sz w:val="20"/>
      <w:szCs w:val="20"/>
    </w:rPr>
  </w:style>
  <w:style w:type="paragraph" w:styleId="Header">
    <w:name w:val="header"/>
    <w:basedOn w:val="Normal"/>
    <w:rsid w:val="00026632"/>
    <w:pPr>
      <w:tabs>
        <w:tab w:val="center" w:pos="4153"/>
        <w:tab w:val="right" w:pos="8306"/>
      </w:tabs>
    </w:pPr>
  </w:style>
  <w:style w:type="paragraph" w:styleId="Footer">
    <w:name w:val="footer"/>
    <w:basedOn w:val="Normal"/>
    <w:rsid w:val="00026632"/>
    <w:pPr>
      <w:tabs>
        <w:tab w:val="center" w:pos="4153"/>
        <w:tab w:val="right" w:pos="8306"/>
      </w:tabs>
    </w:pPr>
  </w:style>
  <w:style w:type="character" w:styleId="Hyperlink">
    <w:name w:val="Hyperlink"/>
    <w:basedOn w:val="DefaultParagraphFont"/>
    <w:rsid w:val="00367B49"/>
    <w:rPr>
      <w:color w:val="0000FF"/>
      <w:u w:val="single"/>
    </w:rPr>
  </w:style>
  <w:style w:type="character" w:styleId="FollowedHyperlink">
    <w:name w:val="FollowedHyperlink"/>
    <w:basedOn w:val="DefaultParagraphFont"/>
    <w:rsid w:val="00367B49"/>
    <w:rPr>
      <w:color w:val="800080"/>
      <w:u w:val="single"/>
    </w:rPr>
  </w:style>
  <w:style w:type="character" w:customStyle="1" w:styleId="Heading2Char">
    <w:name w:val="Heading 2 Char"/>
    <w:basedOn w:val="DefaultParagraphFont"/>
    <w:link w:val="Heading2"/>
    <w:uiPriority w:val="9"/>
    <w:rsid w:val="00C775A3"/>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2265">
      <w:bodyDiv w:val="1"/>
      <w:marLeft w:val="0"/>
      <w:marRight w:val="0"/>
      <w:marTop w:val="0"/>
      <w:marBottom w:val="0"/>
      <w:divBdr>
        <w:top w:val="none" w:sz="0" w:space="0" w:color="auto"/>
        <w:left w:val="none" w:sz="0" w:space="0" w:color="auto"/>
        <w:bottom w:val="none" w:sz="0" w:space="0" w:color="auto"/>
        <w:right w:val="none" w:sz="0" w:space="0" w:color="auto"/>
      </w:divBdr>
      <w:divsChild>
        <w:div w:id="1280914939">
          <w:marLeft w:val="0"/>
          <w:marRight w:val="0"/>
          <w:marTop w:val="0"/>
          <w:marBottom w:val="0"/>
          <w:divBdr>
            <w:top w:val="none" w:sz="0" w:space="0" w:color="auto"/>
            <w:left w:val="none" w:sz="0" w:space="0" w:color="auto"/>
            <w:bottom w:val="none" w:sz="0" w:space="0" w:color="auto"/>
            <w:right w:val="none" w:sz="0" w:space="0" w:color="auto"/>
          </w:divBdr>
          <w:divsChild>
            <w:div w:id="1395008360">
              <w:marLeft w:val="0"/>
              <w:marRight w:val="0"/>
              <w:marTop w:val="0"/>
              <w:marBottom w:val="0"/>
              <w:divBdr>
                <w:top w:val="none" w:sz="0" w:space="0" w:color="auto"/>
                <w:left w:val="none" w:sz="0" w:space="0" w:color="auto"/>
                <w:bottom w:val="none" w:sz="0" w:space="0" w:color="auto"/>
                <w:right w:val="none" w:sz="0" w:space="0" w:color="auto"/>
              </w:divBdr>
              <w:divsChild>
                <w:div w:id="791748505">
                  <w:marLeft w:val="0"/>
                  <w:marRight w:val="0"/>
                  <w:marTop w:val="0"/>
                  <w:marBottom w:val="0"/>
                  <w:divBdr>
                    <w:top w:val="none" w:sz="0" w:space="0" w:color="auto"/>
                    <w:left w:val="none" w:sz="0" w:space="0" w:color="auto"/>
                    <w:bottom w:val="none" w:sz="0" w:space="0" w:color="auto"/>
                    <w:right w:val="none" w:sz="0" w:space="0" w:color="auto"/>
                  </w:divBdr>
                  <w:divsChild>
                    <w:div w:id="2102948656">
                      <w:marLeft w:val="0"/>
                      <w:marRight w:val="0"/>
                      <w:marTop w:val="0"/>
                      <w:marBottom w:val="0"/>
                      <w:divBdr>
                        <w:top w:val="none" w:sz="0" w:space="0" w:color="auto"/>
                        <w:left w:val="none" w:sz="0" w:space="0" w:color="auto"/>
                        <w:bottom w:val="none" w:sz="0" w:space="0" w:color="auto"/>
                        <w:right w:val="none" w:sz="0" w:space="0" w:color="auto"/>
                      </w:divBdr>
                      <w:divsChild>
                        <w:div w:id="266736711">
                          <w:marLeft w:val="0"/>
                          <w:marRight w:val="0"/>
                          <w:marTop w:val="0"/>
                          <w:marBottom w:val="0"/>
                          <w:divBdr>
                            <w:top w:val="none" w:sz="0" w:space="0" w:color="auto"/>
                            <w:left w:val="none" w:sz="0" w:space="0" w:color="auto"/>
                            <w:bottom w:val="none" w:sz="0" w:space="0" w:color="auto"/>
                            <w:right w:val="none" w:sz="0" w:space="0" w:color="auto"/>
                          </w:divBdr>
                          <w:divsChild>
                            <w:div w:id="125941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ud.ac.uk/hr/policies/policymenu/index.php?id=100029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Occupational-health</vt:lpstr>
    </vt:vector>
  </TitlesOfParts>
  <Company>University of Huddersfield</Company>
  <LinksUpToDate>false</LinksUpToDate>
  <CharactersWithSpaces>9861</CharactersWithSpaces>
  <SharedDoc>false</SharedDoc>
  <HLinks>
    <vt:vector size="42" baseType="variant">
      <vt:variant>
        <vt:i4>1507330</vt:i4>
      </vt:variant>
      <vt:variant>
        <vt:i4>18</vt:i4>
      </vt:variant>
      <vt:variant>
        <vt:i4>0</vt:i4>
      </vt:variant>
      <vt:variant>
        <vt:i4>5</vt:i4>
      </vt:variant>
      <vt:variant>
        <vt:lpwstr>http://www.hud.ac.uk/hr/policies/policymenu/index.php?id=1000299</vt:lpwstr>
      </vt:variant>
      <vt:variant>
        <vt:lpwstr/>
      </vt:variant>
      <vt:variant>
        <vt:i4>1769575</vt:i4>
      </vt:variant>
      <vt:variant>
        <vt:i4>15</vt:i4>
      </vt:variant>
      <vt:variant>
        <vt:i4>0</vt:i4>
      </vt:variant>
      <vt:variant>
        <vt:i4>5</vt:i4>
      </vt:variant>
      <vt:variant>
        <vt:lpwstr>Occupational-health.doc</vt:lpwstr>
      </vt:variant>
      <vt:variant>
        <vt:lpwstr>Appendix_2</vt:lpwstr>
      </vt:variant>
      <vt:variant>
        <vt:i4>1704039</vt:i4>
      </vt:variant>
      <vt:variant>
        <vt:i4>12</vt:i4>
      </vt:variant>
      <vt:variant>
        <vt:i4>0</vt:i4>
      </vt:variant>
      <vt:variant>
        <vt:i4>5</vt:i4>
      </vt:variant>
      <vt:variant>
        <vt:lpwstr>Occupational-health.doc</vt:lpwstr>
      </vt:variant>
      <vt:variant>
        <vt:lpwstr>Appendix_3</vt:lpwstr>
      </vt:variant>
      <vt:variant>
        <vt:i4>1769575</vt:i4>
      </vt:variant>
      <vt:variant>
        <vt:i4>9</vt:i4>
      </vt:variant>
      <vt:variant>
        <vt:i4>0</vt:i4>
      </vt:variant>
      <vt:variant>
        <vt:i4>5</vt:i4>
      </vt:variant>
      <vt:variant>
        <vt:lpwstr>Occupational-health.doc</vt:lpwstr>
      </vt:variant>
      <vt:variant>
        <vt:lpwstr>Appendix_2</vt:lpwstr>
      </vt:variant>
      <vt:variant>
        <vt:i4>1769575</vt:i4>
      </vt:variant>
      <vt:variant>
        <vt:i4>6</vt:i4>
      </vt:variant>
      <vt:variant>
        <vt:i4>0</vt:i4>
      </vt:variant>
      <vt:variant>
        <vt:i4>5</vt:i4>
      </vt:variant>
      <vt:variant>
        <vt:lpwstr>Occupational-health.doc</vt:lpwstr>
      </vt:variant>
      <vt:variant>
        <vt:lpwstr>Appendix_2</vt:lpwstr>
      </vt:variant>
      <vt:variant>
        <vt:i4>1769575</vt:i4>
      </vt:variant>
      <vt:variant>
        <vt:i4>3</vt:i4>
      </vt:variant>
      <vt:variant>
        <vt:i4>0</vt:i4>
      </vt:variant>
      <vt:variant>
        <vt:i4>5</vt:i4>
      </vt:variant>
      <vt:variant>
        <vt:lpwstr>Occupational-health.doc</vt:lpwstr>
      </vt:variant>
      <vt:variant>
        <vt:lpwstr>Appendix_2</vt:lpwstr>
      </vt:variant>
      <vt:variant>
        <vt:i4>1572967</vt:i4>
      </vt:variant>
      <vt:variant>
        <vt:i4>0</vt:i4>
      </vt:variant>
      <vt:variant>
        <vt:i4>0</vt:i4>
      </vt:variant>
      <vt:variant>
        <vt:i4>5</vt:i4>
      </vt:variant>
      <vt:variant>
        <vt:lpwstr>Occupational-health.doc</vt:lpwstr>
      </vt:variant>
      <vt:variant>
        <vt:lpwstr>Appendix_1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Occupational-health</dc:title>
  <dc:subject/>
  <dc:creator>Alison Holmes ( Health &amp; Safety ) (vcapalh)</dc:creator>
  <cp:keywords/>
  <dc:description/>
  <cp:lastModifiedBy>Kirsteen Mitton</cp:lastModifiedBy>
  <cp:revision>2</cp:revision>
  <dcterms:created xsi:type="dcterms:W3CDTF">2017-10-02T15:02:00Z</dcterms:created>
  <dcterms:modified xsi:type="dcterms:W3CDTF">2017-10-02T15:02:00Z</dcterms:modified>
</cp:coreProperties>
</file>