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6" w:rsidRPr="00DF6C64" w:rsidRDefault="007123A6" w:rsidP="00956366">
      <w:pPr>
        <w:pStyle w:val="Title"/>
        <w:jc w:val="left"/>
        <w:rPr>
          <w:b/>
          <w:color w:val="4A442A" w:themeColor="background2" w:themeShade="40"/>
          <w:lang w:val="en-GB"/>
        </w:rPr>
      </w:pPr>
      <w:r>
        <w:rPr>
          <w:b/>
          <w:color w:val="4A442A" w:themeColor="background2" w:themeShade="40"/>
          <w:lang w:val="en-GB"/>
        </w:rPr>
        <w:t xml:space="preserve">Support for </w:t>
      </w:r>
      <w:r w:rsidR="00953B39">
        <w:rPr>
          <w:b/>
          <w:color w:val="4A442A" w:themeColor="background2" w:themeShade="40"/>
          <w:lang w:val="en-GB"/>
        </w:rPr>
        <w:t xml:space="preserve">University </w:t>
      </w:r>
      <w:r>
        <w:rPr>
          <w:b/>
          <w:color w:val="4A442A" w:themeColor="background2" w:themeShade="40"/>
          <w:lang w:val="en-GB"/>
        </w:rPr>
        <w:t>staff undertaking FE/</w:t>
      </w:r>
      <w:r w:rsidR="00956366" w:rsidRPr="00DF6C64">
        <w:rPr>
          <w:b/>
          <w:color w:val="4A442A" w:themeColor="background2" w:themeShade="40"/>
          <w:lang w:val="en-GB"/>
        </w:rPr>
        <w:t>HE Courses</w:t>
      </w:r>
      <w:r>
        <w:rPr>
          <w:b/>
          <w:color w:val="4A442A" w:themeColor="background2" w:themeShade="40"/>
          <w:lang w:val="en-GB"/>
        </w:rPr>
        <w:t xml:space="preserve"> </w:t>
      </w:r>
    </w:p>
    <w:p w:rsidR="00FB3CC1" w:rsidRPr="00FB3CC1" w:rsidRDefault="00FB3CC1" w:rsidP="00FB3CC1">
      <w:pPr>
        <w:pStyle w:val="ListParagraph"/>
        <w:numPr>
          <w:ilvl w:val="0"/>
          <w:numId w:val="13"/>
        </w:numPr>
        <w:rPr>
          <w:b/>
          <w:sz w:val="36"/>
          <w:szCs w:val="28"/>
          <w:lang w:val="en-GB"/>
        </w:rPr>
      </w:pPr>
      <w:r w:rsidRPr="00FB3CC1">
        <w:rPr>
          <w:b/>
          <w:sz w:val="36"/>
          <w:szCs w:val="28"/>
          <w:lang w:val="en-GB"/>
        </w:rPr>
        <w:t>Introduction</w:t>
      </w:r>
    </w:p>
    <w:p w:rsidR="00FB3CC1" w:rsidRDefault="00DF6C64" w:rsidP="00896065">
      <w:pPr>
        <w:ind w:left="360"/>
        <w:rPr>
          <w:b/>
          <w:sz w:val="32"/>
          <w:szCs w:val="28"/>
          <w:lang w:val="en-GB"/>
        </w:rPr>
      </w:pPr>
      <w:r w:rsidRPr="00FB3CC1">
        <w:rPr>
          <w:sz w:val="28"/>
          <w:szCs w:val="28"/>
          <w:lang w:val="en-GB"/>
        </w:rPr>
        <w:t xml:space="preserve">This </w:t>
      </w:r>
      <w:r w:rsidR="007123A6" w:rsidRPr="00FB3CC1">
        <w:rPr>
          <w:sz w:val="28"/>
          <w:szCs w:val="28"/>
          <w:lang w:val="en-GB"/>
        </w:rPr>
        <w:t>document</w:t>
      </w:r>
      <w:r w:rsidRPr="00FB3CC1">
        <w:rPr>
          <w:sz w:val="28"/>
          <w:szCs w:val="28"/>
          <w:lang w:val="en-GB"/>
        </w:rPr>
        <w:t xml:space="preserve"> </w:t>
      </w:r>
      <w:r w:rsidR="00EA1F5F" w:rsidRPr="00FB3CC1">
        <w:rPr>
          <w:sz w:val="28"/>
          <w:szCs w:val="28"/>
          <w:lang w:val="en-GB"/>
        </w:rPr>
        <w:t xml:space="preserve">clarifies the </w:t>
      </w:r>
      <w:r w:rsidR="00FB3CC1" w:rsidRPr="00FB3CC1">
        <w:rPr>
          <w:sz w:val="28"/>
          <w:szCs w:val="28"/>
          <w:lang w:val="en-GB"/>
        </w:rPr>
        <w:t>categories and extent</w:t>
      </w:r>
      <w:r w:rsidR="00EA1F5F" w:rsidRPr="00FB3CC1">
        <w:rPr>
          <w:sz w:val="28"/>
          <w:szCs w:val="28"/>
          <w:lang w:val="en-GB"/>
        </w:rPr>
        <w:t xml:space="preserve"> of support available to </w:t>
      </w:r>
      <w:r w:rsidR="00953B39">
        <w:rPr>
          <w:sz w:val="28"/>
          <w:szCs w:val="28"/>
          <w:lang w:val="en-GB"/>
        </w:rPr>
        <w:t xml:space="preserve">all </w:t>
      </w:r>
      <w:r w:rsidR="00EA1F5F" w:rsidRPr="00FB3CC1">
        <w:rPr>
          <w:sz w:val="28"/>
          <w:szCs w:val="28"/>
          <w:lang w:val="en-GB"/>
        </w:rPr>
        <w:t>staff undertaking courses of study at</w:t>
      </w:r>
      <w:r w:rsidR="00896065">
        <w:rPr>
          <w:sz w:val="28"/>
          <w:szCs w:val="28"/>
          <w:lang w:val="en-GB"/>
        </w:rPr>
        <w:t xml:space="preserve"> </w:t>
      </w:r>
      <w:r w:rsidR="00953B39">
        <w:rPr>
          <w:b/>
          <w:sz w:val="32"/>
          <w:szCs w:val="28"/>
          <w:lang w:val="en-GB"/>
        </w:rPr>
        <w:t xml:space="preserve">Foundation, </w:t>
      </w:r>
      <w:r w:rsidR="00EA1F5F" w:rsidRPr="007B2345">
        <w:rPr>
          <w:b/>
          <w:sz w:val="32"/>
          <w:szCs w:val="28"/>
          <w:lang w:val="en-GB"/>
        </w:rPr>
        <w:t xml:space="preserve">Undergraduate </w:t>
      </w:r>
      <w:r w:rsidR="007123A6" w:rsidRPr="007B2345">
        <w:rPr>
          <w:b/>
          <w:sz w:val="32"/>
          <w:szCs w:val="28"/>
          <w:lang w:val="en-GB"/>
        </w:rPr>
        <w:t>and Postgraduate levels.</w:t>
      </w:r>
    </w:p>
    <w:p w:rsidR="00896065" w:rsidRPr="00896065" w:rsidRDefault="00896065" w:rsidP="00896065">
      <w:pPr>
        <w:ind w:left="360"/>
        <w:rPr>
          <w:sz w:val="28"/>
          <w:szCs w:val="28"/>
          <w:lang w:val="en-GB"/>
        </w:rPr>
      </w:pPr>
    </w:p>
    <w:p w:rsidR="006B30C1" w:rsidRPr="00FB3CC1" w:rsidRDefault="006B30C1" w:rsidP="00FB3CC1">
      <w:pPr>
        <w:pStyle w:val="ListParagraph"/>
        <w:numPr>
          <w:ilvl w:val="0"/>
          <w:numId w:val="13"/>
        </w:numPr>
        <w:rPr>
          <w:b/>
          <w:sz w:val="28"/>
          <w:szCs w:val="28"/>
          <w:lang w:val="en-GB"/>
        </w:rPr>
      </w:pPr>
      <w:r w:rsidRPr="00FB3CC1">
        <w:rPr>
          <w:b/>
          <w:sz w:val="36"/>
          <w:szCs w:val="28"/>
          <w:lang w:val="en-GB"/>
        </w:rPr>
        <w:t xml:space="preserve">Categories </w:t>
      </w:r>
      <w:r w:rsidR="00C912F0" w:rsidRPr="00FB3CC1">
        <w:rPr>
          <w:b/>
          <w:sz w:val="36"/>
          <w:szCs w:val="28"/>
          <w:lang w:val="en-GB"/>
        </w:rPr>
        <w:t>of</w:t>
      </w:r>
      <w:r w:rsidRPr="00FB3CC1">
        <w:rPr>
          <w:b/>
          <w:sz w:val="36"/>
          <w:szCs w:val="28"/>
          <w:lang w:val="en-GB"/>
        </w:rPr>
        <w:t xml:space="preserve"> support:</w:t>
      </w:r>
    </w:p>
    <w:p w:rsidR="00FB3CC1" w:rsidRPr="00FB3CC1" w:rsidRDefault="00FB3CC1" w:rsidP="00FB3CC1">
      <w:pPr>
        <w:pStyle w:val="ListParagraph"/>
        <w:rPr>
          <w:b/>
          <w:sz w:val="28"/>
          <w:szCs w:val="28"/>
          <w:lang w:val="en-GB"/>
        </w:rPr>
      </w:pPr>
    </w:p>
    <w:p w:rsidR="00EA1F5F" w:rsidRPr="00E66056" w:rsidRDefault="00EA1F5F" w:rsidP="00FB3CC1">
      <w:pPr>
        <w:pStyle w:val="ListParagraph"/>
        <w:numPr>
          <w:ilvl w:val="1"/>
          <w:numId w:val="13"/>
        </w:numPr>
        <w:rPr>
          <w:b/>
          <w:sz w:val="28"/>
          <w:szCs w:val="28"/>
          <w:lang w:val="en-GB"/>
        </w:rPr>
      </w:pPr>
      <w:r w:rsidRPr="00E66056">
        <w:rPr>
          <w:b/>
          <w:sz w:val="28"/>
          <w:szCs w:val="28"/>
          <w:lang w:val="en-GB"/>
        </w:rPr>
        <w:t xml:space="preserve"> Essential to the role undertaken:</w:t>
      </w:r>
    </w:p>
    <w:p w:rsidR="00953B39" w:rsidRPr="00896065" w:rsidRDefault="00953B39" w:rsidP="00896065">
      <w:pPr>
        <w:pStyle w:val="ListParagraph"/>
        <w:numPr>
          <w:ilvl w:val="0"/>
          <w:numId w:val="14"/>
        </w:numPr>
        <w:rPr>
          <w:sz w:val="28"/>
          <w:szCs w:val="28"/>
          <w:lang w:val="en-GB"/>
        </w:rPr>
      </w:pPr>
      <w:r w:rsidRPr="00896065">
        <w:rPr>
          <w:i/>
          <w:sz w:val="28"/>
          <w:szCs w:val="28"/>
          <w:lang w:val="en-GB"/>
        </w:rPr>
        <w:t>This Category refers to circumstances w</w:t>
      </w:r>
      <w:r w:rsidR="00EA1F5F" w:rsidRPr="00896065">
        <w:rPr>
          <w:i/>
          <w:sz w:val="28"/>
          <w:szCs w:val="28"/>
          <w:lang w:val="en-GB"/>
        </w:rPr>
        <w:t>here a course</w:t>
      </w:r>
      <w:r w:rsidRPr="00896065">
        <w:rPr>
          <w:i/>
          <w:sz w:val="28"/>
          <w:szCs w:val="28"/>
          <w:lang w:val="en-GB"/>
        </w:rPr>
        <w:t xml:space="preserve"> or programme of study</w:t>
      </w:r>
      <w:r w:rsidR="00EA1F5F" w:rsidRPr="00896065">
        <w:rPr>
          <w:i/>
          <w:sz w:val="28"/>
          <w:szCs w:val="28"/>
          <w:lang w:val="en-GB"/>
        </w:rPr>
        <w:t xml:space="preserve"> is a necessity in enabling the employee to carry out the full requirements of their role</w:t>
      </w:r>
      <w:r w:rsidRPr="00896065">
        <w:rPr>
          <w:i/>
          <w:sz w:val="28"/>
          <w:szCs w:val="28"/>
          <w:lang w:val="en-GB"/>
        </w:rPr>
        <w:t>.</w:t>
      </w:r>
      <w:r w:rsidR="00EA1F5F" w:rsidRPr="00896065">
        <w:rPr>
          <w:sz w:val="28"/>
          <w:szCs w:val="28"/>
          <w:lang w:val="en-GB"/>
        </w:rPr>
        <w:t xml:space="preserve"> </w:t>
      </w:r>
    </w:p>
    <w:p w:rsidR="00EA1F5F" w:rsidRPr="00896065" w:rsidRDefault="00953B39" w:rsidP="00896065">
      <w:pPr>
        <w:pStyle w:val="ListParagraph"/>
        <w:numPr>
          <w:ilvl w:val="0"/>
          <w:numId w:val="14"/>
        </w:numPr>
        <w:rPr>
          <w:b/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>E</w:t>
      </w:r>
      <w:r w:rsidR="00EA1F5F" w:rsidRPr="00896065">
        <w:rPr>
          <w:sz w:val="28"/>
          <w:szCs w:val="28"/>
          <w:lang w:val="en-GB"/>
        </w:rPr>
        <w:t xml:space="preserve">mployees will have their fees paid and will be granted time off to attend the programme. </w:t>
      </w:r>
    </w:p>
    <w:p w:rsidR="00EA1F5F" w:rsidRPr="00896065" w:rsidRDefault="00EA1F5F" w:rsidP="00896065">
      <w:pPr>
        <w:pStyle w:val="ListParagraph"/>
        <w:numPr>
          <w:ilvl w:val="0"/>
          <w:numId w:val="14"/>
        </w:numPr>
        <w:rPr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>Study time will be granted for taught elements of the programme and for exam revision</w:t>
      </w:r>
      <w:r w:rsidR="00896065" w:rsidRPr="00896065">
        <w:rPr>
          <w:sz w:val="28"/>
          <w:szCs w:val="28"/>
          <w:lang w:val="en-GB"/>
        </w:rPr>
        <w:t xml:space="preserve"> as defined within policy relating to “other leave” (below)</w:t>
      </w:r>
      <w:r w:rsidRPr="00896065">
        <w:rPr>
          <w:sz w:val="28"/>
          <w:szCs w:val="28"/>
          <w:lang w:val="en-GB"/>
        </w:rPr>
        <w:t xml:space="preserve">. </w:t>
      </w:r>
    </w:p>
    <w:p w:rsidR="00896065" w:rsidRPr="005F33D6" w:rsidRDefault="00896065" w:rsidP="00896065">
      <w:pPr>
        <w:ind w:firstLine="720"/>
        <w:rPr>
          <w:rFonts w:eastAsiaTheme="minorHAnsi"/>
          <w:sz w:val="28"/>
          <w:szCs w:val="24"/>
        </w:rPr>
      </w:pPr>
      <w:r w:rsidRPr="005F33D6">
        <w:rPr>
          <w:b/>
          <w:bCs/>
          <w:sz w:val="28"/>
          <w:szCs w:val="24"/>
          <w:lang w:eastAsia="en-GB"/>
        </w:rPr>
        <w:t xml:space="preserve">Examination and Study Leave </w:t>
      </w:r>
    </w:p>
    <w:p w:rsidR="00896065" w:rsidRPr="005F33D6" w:rsidRDefault="00896065" w:rsidP="00896065">
      <w:pPr>
        <w:spacing w:before="100" w:beforeAutospacing="1"/>
        <w:ind w:left="720"/>
        <w:rPr>
          <w:rFonts w:eastAsia="Times New Roman" w:cs="Times New Roman"/>
          <w:sz w:val="28"/>
          <w:szCs w:val="24"/>
          <w:lang w:eastAsia="en-GB"/>
        </w:rPr>
      </w:pPr>
      <w:r w:rsidRPr="005F33D6">
        <w:rPr>
          <w:sz w:val="28"/>
          <w:szCs w:val="24"/>
          <w:lang w:eastAsia="en-GB"/>
        </w:rPr>
        <w:t>Members of staff undertaking a formal course of study agreed by the University as part of their staff development plan, may take special leave amounting to half a day or half a normal working session (if less than full time), for each examination plus half a day's examination preparation.  This entitlement applies whether or not the actual examination is scheduled within normal working hours.</w:t>
      </w:r>
    </w:p>
    <w:p w:rsidR="00896065" w:rsidRDefault="00896065">
      <w:pPr>
        <w:jc w:val="lef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EA1F5F" w:rsidRPr="00FB5911" w:rsidRDefault="00FB5911" w:rsidP="00FB5911">
      <w:pPr>
        <w:ind w:left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2.2</w:t>
      </w:r>
      <w:r w:rsidR="00EA1F5F" w:rsidRPr="00FB5911">
        <w:rPr>
          <w:b/>
          <w:sz w:val="28"/>
          <w:szCs w:val="28"/>
          <w:lang w:val="en-GB"/>
        </w:rPr>
        <w:t xml:space="preserve"> Role and Personal Development</w:t>
      </w:r>
      <w:r w:rsidR="006B30C1" w:rsidRPr="00FB5911">
        <w:rPr>
          <w:b/>
          <w:sz w:val="28"/>
          <w:szCs w:val="28"/>
          <w:lang w:val="en-GB"/>
        </w:rPr>
        <w:t>:</w:t>
      </w:r>
      <w:r w:rsidR="00FC5C87" w:rsidRPr="00FB5911">
        <w:rPr>
          <w:b/>
          <w:sz w:val="28"/>
          <w:szCs w:val="28"/>
          <w:lang w:val="en-GB"/>
        </w:rPr>
        <w:t xml:space="preserve"> </w:t>
      </w:r>
    </w:p>
    <w:p w:rsidR="007921F0" w:rsidRPr="00896065" w:rsidRDefault="00EA1F5F" w:rsidP="00896065">
      <w:pPr>
        <w:pStyle w:val="ListParagraph"/>
        <w:numPr>
          <w:ilvl w:val="0"/>
          <w:numId w:val="15"/>
        </w:numPr>
        <w:rPr>
          <w:i/>
          <w:sz w:val="28"/>
          <w:szCs w:val="28"/>
          <w:lang w:val="en-GB"/>
        </w:rPr>
      </w:pPr>
      <w:r w:rsidRPr="00896065">
        <w:rPr>
          <w:i/>
          <w:sz w:val="28"/>
          <w:szCs w:val="28"/>
          <w:lang w:val="en-GB"/>
        </w:rPr>
        <w:t xml:space="preserve">This </w:t>
      </w:r>
      <w:r w:rsidR="00953B39" w:rsidRPr="00896065">
        <w:rPr>
          <w:i/>
          <w:sz w:val="28"/>
          <w:szCs w:val="28"/>
          <w:lang w:val="en-GB"/>
        </w:rPr>
        <w:t xml:space="preserve">category </w:t>
      </w:r>
      <w:r w:rsidRPr="00896065">
        <w:rPr>
          <w:i/>
          <w:sz w:val="28"/>
          <w:szCs w:val="28"/>
          <w:lang w:val="en-GB"/>
        </w:rPr>
        <w:t>applies to</w:t>
      </w:r>
      <w:r w:rsidR="003D5527" w:rsidRPr="00896065">
        <w:rPr>
          <w:i/>
          <w:sz w:val="28"/>
          <w:szCs w:val="28"/>
          <w:lang w:val="en-GB"/>
        </w:rPr>
        <w:t xml:space="preserve"> course</w:t>
      </w:r>
      <w:r w:rsidRPr="00896065">
        <w:rPr>
          <w:i/>
          <w:sz w:val="28"/>
          <w:szCs w:val="28"/>
          <w:lang w:val="en-GB"/>
        </w:rPr>
        <w:t xml:space="preserve">s that are </w:t>
      </w:r>
      <w:r w:rsidR="003D5527" w:rsidRPr="00896065">
        <w:rPr>
          <w:i/>
          <w:sz w:val="28"/>
          <w:szCs w:val="28"/>
          <w:lang w:val="en-GB"/>
        </w:rPr>
        <w:t>not a necess</w:t>
      </w:r>
      <w:r w:rsidRPr="00896065">
        <w:rPr>
          <w:i/>
          <w:sz w:val="28"/>
          <w:szCs w:val="28"/>
          <w:lang w:val="en-GB"/>
        </w:rPr>
        <w:t>ary</w:t>
      </w:r>
      <w:r w:rsidR="00E66056" w:rsidRPr="00896065">
        <w:rPr>
          <w:i/>
          <w:sz w:val="28"/>
          <w:szCs w:val="28"/>
          <w:lang w:val="en-GB"/>
        </w:rPr>
        <w:t xml:space="preserve"> requirement for an individual’s post but</w:t>
      </w:r>
      <w:r w:rsidR="003D5527" w:rsidRPr="00896065">
        <w:rPr>
          <w:i/>
          <w:sz w:val="28"/>
          <w:szCs w:val="28"/>
          <w:lang w:val="en-GB"/>
        </w:rPr>
        <w:t xml:space="preserve"> </w:t>
      </w:r>
      <w:r w:rsidR="00E66056" w:rsidRPr="00896065">
        <w:rPr>
          <w:i/>
          <w:sz w:val="28"/>
          <w:szCs w:val="28"/>
          <w:lang w:val="en-GB"/>
        </w:rPr>
        <w:t xml:space="preserve">there is an expectation that it </w:t>
      </w:r>
      <w:r w:rsidR="003D5527" w:rsidRPr="00896065">
        <w:rPr>
          <w:i/>
          <w:sz w:val="28"/>
          <w:szCs w:val="28"/>
          <w:lang w:val="en-GB"/>
        </w:rPr>
        <w:t>will provide benefit to both the employee and the University in enhancing skills and kno</w:t>
      </w:r>
      <w:r w:rsidR="00FB3CC1" w:rsidRPr="00896065">
        <w:rPr>
          <w:i/>
          <w:sz w:val="28"/>
          <w:szCs w:val="28"/>
          <w:lang w:val="en-GB"/>
        </w:rPr>
        <w:t>wledge that may be used in the employee’s</w:t>
      </w:r>
      <w:r w:rsidR="003D5527" w:rsidRPr="00896065">
        <w:rPr>
          <w:i/>
          <w:sz w:val="28"/>
          <w:szCs w:val="28"/>
          <w:lang w:val="en-GB"/>
        </w:rPr>
        <w:t xml:space="preserve"> role</w:t>
      </w:r>
    </w:p>
    <w:p w:rsidR="00FB3CC1" w:rsidRPr="00896065" w:rsidRDefault="00FB3CC1" w:rsidP="00896065">
      <w:pPr>
        <w:pStyle w:val="ListParagraph"/>
        <w:numPr>
          <w:ilvl w:val="0"/>
          <w:numId w:val="15"/>
        </w:numPr>
        <w:rPr>
          <w:b/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>Support for employees will be granted at the discretion of Schools and Services based upon the budget available, perceived benefit and operational requirements relating to releasing employees to attend programmes.</w:t>
      </w:r>
    </w:p>
    <w:p w:rsidR="00D378E2" w:rsidRPr="00896065" w:rsidRDefault="00FB3CC1" w:rsidP="00896065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 xml:space="preserve">Where </w:t>
      </w:r>
      <w:r w:rsidR="00953B39" w:rsidRPr="00896065">
        <w:rPr>
          <w:sz w:val="28"/>
          <w:szCs w:val="28"/>
          <w:lang w:val="en-GB"/>
        </w:rPr>
        <w:t xml:space="preserve">access to a course or programme of study has been </w:t>
      </w:r>
      <w:r w:rsidRPr="00896065">
        <w:rPr>
          <w:sz w:val="28"/>
          <w:szCs w:val="28"/>
          <w:lang w:val="en-GB"/>
        </w:rPr>
        <w:t>agreed t</w:t>
      </w:r>
      <w:r w:rsidR="00D378E2" w:rsidRPr="00896065">
        <w:rPr>
          <w:sz w:val="28"/>
          <w:szCs w:val="28"/>
          <w:lang w:val="en-GB"/>
        </w:rPr>
        <w:t>he s</w:t>
      </w:r>
      <w:r w:rsidRPr="00896065">
        <w:rPr>
          <w:sz w:val="28"/>
          <w:szCs w:val="28"/>
          <w:lang w:val="en-GB"/>
        </w:rPr>
        <w:t>ponsoring School or Service will pay</w:t>
      </w:r>
      <w:r w:rsidR="00D378E2" w:rsidRPr="00896065">
        <w:rPr>
          <w:sz w:val="28"/>
          <w:szCs w:val="28"/>
          <w:lang w:val="en-GB"/>
        </w:rPr>
        <w:t xml:space="preserve"> for the programme with no requirement for employee contribution. </w:t>
      </w:r>
    </w:p>
    <w:p w:rsidR="00E66056" w:rsidRPr="00896065" w:rsidRDefault="003D5527" w:rsidP="00896065">
      <w:pPr>
        <w:pStyle w:val="ListParagraph"/>
        <w:numPr>
          <w:ilvl w:val="0"/>
          <w:numId w:val="15"/>
        </w:numPr>
        <w:rPr>
          <w:b/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 xml:space="preserve">Time off </w:t>
      </w:r>
      <w:r w:rsidR="00E57DC9" w:rsidRPr="00896065">
        <w:rPr>
          <w:sz w:val="28"/>
          <w:szCs w:val="28"/>
          <w:lang w:val="en-GB"/>
        </w:rPr>
        <w:t xml:space="preserve">for attendance </w:t>
      </w:r>
      <w:r w:rsidR="00E66056" w:rsidRPr="00896065">
        <w:rPr>
          <w:sz w:val="28"/>
          <w:szCs w:val="28"/>
          <w:lang w:val="en-GB"/>
        </w:rPr>
        <w:t xml:space="preserve">during working time for taught elements will be granted. </w:t>
      </w:r>
      <w:r w:rsidR="00E57DC9" w:rsidRPr="00896065">
        <w:rPr>
          <w:sz w:val="28"/>
          <w:szCs w:val="28"/>
          <w:lang w:val="en-GB"/>
        </w:rPr>
        <w:t>No time in lieu may be claimed for weekend or evening taught elements or study</w:t>
      </w:r>
      <w:r w:rsidR="007921F0" w:rsidRPr="00896065">
        <w:rPr>
          <w:sz w:val="28"/>
          <w:szCs w:val="28"/>
          <w:lang w:val="en-GB"/>
        </w:rPr>
        <w:t>.</w:t>
      </w:r>
    </w:p>
    <w:p w:rsidR="007B2345" w:rsidRPr="00896065" w:rsidRDefault="00125F8C" w:rsidP="00896065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>Study time will be covered via use of flexi or leave</w:t>
      </w:r>
      <w:r w:rsidR="00E66056" w:rsidRPr="00896065">
        <w:rPr>
          <w:sz w:val="28"/>
          <w:szCs w:val="28"/>
          <w:lang w:val="en-GB"/>
        </w:rPr>
        <w:t xml:space="preserve">. </w:t>
      </w:r>
    </w:p>
    <w:p w:rsidR="00394C1A" w:rsidRPr="00896065" w:rsidRDefault="00E66056" w:rsidP="00896065">
      <w:pPr>
        <w:pStyle w:val="ListParagraph"/>
        <w:numPr>
          <w:ilvl w:val="0"/>
          <w:numId w:val="15"/>
        </w:numPr>
        <w:rPr>
          <w:b/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>Managers are encouraged to apply flexible working arrangements to assist the employee i.e. use of flex time; annual leave; unpaid leave.</w:t>
      </w:r>
    </w:p>
    <w:p w:rsidR="00E66056" w:rsidRPr="00FB5911" w:rsidRDefault="00896065" w:rsidP="00FB5911">
      <w:pPr>
        <w:ind w:firstLine="720"/>
        <w:rPr>
          <w:b/>
          <w:sz w:val="28"/>
          <w:szCs w:val="28"/>
          <w:lang w:val="en-GB"/>
        </w:rPr>
      </w:pPr>
      <w:r w:rsidRPr="00FB5911">
        <w:rPr>
          <w:b/>
          <w:sz w:val="28"/>
          <w:szCs w:val="28"/>
          <w:lang w:val="en-GB"/>
        </w:rPr>
        <w:t>2.3 Personal</w:t>
      </w:r>
      <w:r w:rsidR="00E66056" w:rsidRPr="00FB5911">
        <w:rPr>
          <w:b/>
          <w:sz w:val="28"/>
          <w:szCs w:val="28"/>
          <w:lang w:val="en-GB"/>
        </w:rPr>
        <w:t xml:space="preserve"> Development</w:t>
      </w:r>
      <w:r w:rsidR="006B30C1" w:rsidRPr="00FB5911">
        <w:rPr>
          <w:b/>
          <w:sz w:val="28"/>
          <w:szCs w:val="28"/>
          <w:lang w:val="en-GB"/>
        </w:rPr>
        <w:t>:</w:t>
      </w:r>
    </w:p>
    <w:p w:rsidR="00E66056" w:rsidRPr="00896065" w:rsidRDefault="00953B39" w:rsidP="00896065">
      <w:pPr>
        <w:pStyle w:val="ListParagraph"/>
        <w:numPr>
          <w:ilvl w:val="0"/>
          <w:numId w:val="16"/>
        </w:numPr>
        <w:rPr>
          <w:b/>
          <w:i/>
          <w:sz w:val="28"/>
          <w:szCs w:val="28"/>
          <w:lang w:val="en-GB"/>
        </w:rPr>
      </w:pPr>
      <w:r w:rsidRPr="00896065">
        <w:rPr>
          <w:i/>
          <w:sz w:val="28"/>
          <w:szCs w:val="28"/>
          <w:lang w:val="en-GB"/>
        </w:rPr>
        <w:t>This category relates to circumstances where</w:t>
      </w:r>
      <w:r w:rsidR="003D5527" w:rsidRPr="00896065">
        <w:rPr>
          <w:i/>
          <w:sz w:val="28"/>
          <w:szCs w:val="28"/>
          <w:lang w:val="en-GB"/>
        </w:rPr>
        <w:t xml:space="preserve"> a course provides personal</w:t>
      </w:r>
      <w:r w:rsidR="00E66056" w:rsidRPr="00896065">
        <w:rPr>
          <w:i/>
          <w:sz w:val="28"/>
          <w:szCs w:val="28"/>
          <w:lang w:val="en-GB"/>
        </w:rPr>
        <w:t xml:space="preserve"> and </w:t>
      </w:r>
      <w:r w:rsidR="007B2345" w:rsidRPr="00896065">
        <w:rPr>
          <w:i/>
          <w:sz w:val="28"/>
          <w:szCs w:val="28"/>
          <w:lang w:val="en-GB"/>
        </w:rPr>
        <w:t>or</w:t>
      </w:r>
      <w:r w:rsidR="00E66056" w:rsidRPr="00896065">
        <w:rPr>
          <w:i/>
          <w:sz w:val="28"/>
          <w:szCs w:val="28"/>
          <w:lang w:val="en-GB"/>
        </w:rPr>
        <w:t xml:space="preserve"> career</w:t>
      </w:r>
      <w:r w:rsidR="003D5527" w:rsidRPr="00896065">
        <w:rPr>
          <w:i/>
          <w:sz w:val="28"/>
          <w:szCs w:val="28"/>
          <w:lang w:val="en-GB"/>
        </w:rPr>
        <w:t xml:space="preserve"> development for the employee </w:t>
      </w:r>
      <w:r w:rsidR="00E66056" w:rsidRPr="00896065">
        <w:rPr>
          <w:i/>
          <w:sz w:val="28"/>
          <w:szCs w:val="28"/>
          <w:lang w:val="en-GB"/>
        </w:rPr>
        <w:t>but limited application to</w:t>
      </w:r>
      <w:r w:rsidRPr="00896065">
        <w:rPr>
          <w:i/>
          <w:sz w:val="28"/>
          <w:szCs w:val="28"/>
          <w:lang w:val="en-GB"/>
        </w:rPr>
        <w:t xml:space="preserve"> their</w:t>
      </w:r>
      <w:r w:rsidR="00E66056" w:rsidRPr="00896065">
        <w:rPr>
          <w:i/>
          <w:sz w:val="28"/>
          <w:szCs w:val="28"/>
          <w:lang w:val="en-GB"/>
        </w:rPr>
        <w:t xml:space="preserve"> role.</w:t>
      </w:r>
    </w:p>
    <w:p w:rsidR="003D5527" w:rsidRPr="00896065" w:rsidRDefault="003D5527" w:rsidP="00896065">
      <w:pPr>
        <w:pStyle w:val="ListParagraph"/>
        <w:numPr>
          <w:ilvl w:val="0"/>
          <w:numId w:val="16"/>
        </w:numPr>
        <w:rPr>
          <w:b/>
          <w:sz w:val="28"/>
          <w:szCs w:val="28"/>
          <w:lang w:val="en-GB"/>
        </w:rPr>
      </w:pPr>
      <w:r w:rsidRPr="00896065">
        <w:rPr>
          <w:sz w:val="28"/>
          <w:szCs w:val="28"/>
          <w:lang w:val="en-GB"/>
        </w:rPr>
        <w:t>No contribution to fees will be paid a</w:t>
      </w:r>
      <w:r w:rsidR="00E66056" w:rsidRPr="00896065">
        <w:rPr>
          <w:sz w:val="28"/>
          <w:szCs w:val="28"/>
          <w:lang w:val="en-GB"/>
        </w:rPr>
        <w:t>nd no time off will be granted. Managers are encouraged to apply flexible working arrangements to assist the employee i.e. use of flex time; annual leave; unpaid leave.</w:t>
      </w:r>
    </w:p>
    <w:p w:rsidR="00125F8C" w:rsidRPr="00125F8C" w:rsidRDefault="00125F8C" w:rsidP="00125F8C">
      <w:pPr>
        <w:pStyle w:val="ListParagraph"/>
        <w:ind w:left="2160"/>
        <w:rPr>
          <w:b/>
          <w:sz w:val="28"/>
          <w:szCs w:val="28"/>
          <w:lang w:val="en-GB"/>
        </w:rPr>
      </w:pPr>
    </w:p>
    <w:p w:rsidR="007921F0" w:rsidRDefault="007921F0">
      <w:pPr>
        <w:jc w:val="left"/>
        <w:rPr>
          <w:b/>
          <w:sz w:val="36"/>
          <w:szCs w:val="28"/>
          <w:lang w:val="en-GB"/>
        </w:rPr>
      </w:pPr>
    </w:p>
    <w:sectPr w:rsidR="007921F0" w:rsidSect="00861A67">
      <w:headerReference w:type="default" r:id="rId8"/>
      <w:footerReference w:type="default" r:id="rId9"/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45" w:rsidRDefault="007B2345" w:rsidP="00B4541E">
      <w:pPr>
        <w:spacing w:after="0" w:line="240" w:lineRule="auto"/>
      </w:pPr>
      <w:r>
        <w:separator/>
      </w:r>
    </w:p>
  </w:endnote>
  <w:endnote w:type="continuationSeparator" w:id="0">
    <w:p w:rsidR="007B2345" w:rsidRDefault="007B2345" w:rsidP="00B4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45" w:rsidRDefault="007B23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Funding FE / HE </w:t>
    </w:r>
    <w:proofErr w:type="spellStart"/>
    <w:r>
      <w:rPr>
        <w:rFonts w:asciiTheme="majorHAnsi" w:hAnsiTheme="majorHAnsi"/>
      </w:rPr>
      <w:t>Programmes</w:t>
    </w:r>
    <w:proofErr w:type="spellEnd"/>
    <w:r>
      <w:rPr>
        <w:rFonts w:asciiTheme="majorHAnsi" w:hAnsiTheme="majorHAnsi"/>
      </w:rPr>
      <w:t>: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33B72" w:rsidRPr="00833B72">
        <w:rPr>
          <w:rFonts w:asciiTheme="majorHAnsi" w:hAnsiTheme="majorHAnsi"/>
          <w:noProof/>
        </w:rPr>
        <w:t>1</w:t>
      </w:r>
    </w:fldSimple>
  </w:p>
  <w:p w:rsidR="007B2345" w:rsidRDefault="007B2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45" w:rsidRDefault="007B2345" w:rsidP="00B4541E">
      <w:pPr>
        <w:spacing w:after="0" w:line="240" w:lineRule="auto"/>
      </w:pPr>
      <w:r>
        <w:separator/>
      </w:r>
    </w:p>
  </w:footnote>
  <w:footnote w:type="continuationSeparator" w:id="0">
    <w:p w:rsidR="007B2345" w:rsidRDefault="007B2345" w:rsidP="00B4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45" w:rsidRDefault="007B2345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598"/>
    <w:multiLevelType w:val="hybridMultilevel"/>
    <w:tmpl w:val="50B8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B30"/>
    <w:multiLevelType w:val="multilevel"/>
    <w:tmpl w:val="A9C80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DC6910"/>
    <w:multiLevelType w:val="hybridMultilevel"/>
    <w:tmpl w:val="0EFC2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24D"/>
    <w:multiLevelType w:val="hybridMultilevel"/>
    <w:tmpl w:val="CAEC6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F1832"/>
    <w:multiLevelType w:val="hybridMultilevel"/>
    <w:tmpl w:val="9C8C4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952"/>
    <w:multiLevelType w:val="hybridMultilevel"/>
    <w:tmpl w:val="A4AE4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77F"/>
    <w:multiLevelType w:val="hybridMultilevel"/>
    <w:tmpl w:val="F9FA8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7663"/>
    <w:multiLevelType w:val="multilevel"/>
    <w:tmpl w:val="0766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8">
    <w:nsid w:val="622E45E5"/>
    <w:multiLevelType w:val="multilevel"/>
    <w:tmpl w:val="5852DE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6" w:hanging="2160"/>
      </w:pPr>
      <w:rPr>
        <w:rFonts w:hint="default"/>
      </w:rPr>
    </w:lvl>
  </w:abstractNum>
  <w:abstractNum w:abstractNumId="9">
    <w:nsid w:val="62452C3F"/>
    <w:multiLevelType w:val="hybridMultilevel"/>
    <w:tmpl w:val="BA4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152"/>
    <w:multiLevelType w:val="hybridMultilevel"/>
    <w:tmpl w:val="3F42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B3819"/>
    <w:multiLevelType w:val="multilevel"/>
    <w:tmpl w:val="B176A9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CE31C83"/>
    <w:multiLevelType w:val="multilevel"/>
    <w:tmpl w:val="BEB6D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C779FB"/>
    <w:multiLevelType w:val="hybridMultilevel"/>
    <w:tmpl w:val="6EA41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3E02"/>
    <w:multiLevelType w:val="hybridMultilevel"/>
    <w:tmpl w:val="29F89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7126C"/>
    <w:multiLevelType w:val="hybridMultilevel"/>
    <w:tmpl w:val="EF124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C47D7"/>
    <w:rsid w:val="00005F9D"/>
    <w:rsid w:val="00063863"/>
    <w:rsid w:val="00065D5A"/>
    <w:rsid w:val="000D20E5"/>
    <w:rsid w:val="001055D1"/>
    <w:rsid w:val="0011018F"/>
    <w:rsid w:val="00125EE5"/>
    <w:rsid w:val="00125F8C"/>
    <w:rsid w:val="00150E56"/>
    <w:rsid w:val="001B651D"/>
    <w:rsid w:val="001F1E8E"/>
    <w:rsid w:val="001F1FC6"/>
    <w:rsid w:val="00210A68"/>
    <w:rsid w:val="00234BA2"/>
    <w:rsid w:val="002D32E0"/>
    <w:rsid w:val="003110D9"/>
    <w:rsid w:val="00364174"/>
    <w:rsid w:val="00394C1A"/>
    <w:rsid w:val="003D5527"/>
    <w:rsid w:val="00445486"/>
    <w:rsid w:val="004855AF"/>
    <w:rsid w:val="004B2E60"/>
    <w:rsid w:val="005B6A83"/>
    <w:rsid w:val="005F33D6"/>
    <w:rsid w:val="00600A5B"/>
    <w:rsid w:val="006B30C1"/>
    <w:rsid w:val="006C5E0B"/>
    <w:rsid w:val="006D7827"/>
    <w:rsid w:val="007123A6"/>
    <w:rsid w:val="00791482"/>
    <w:rsid w:val="007921F0"/>
    <w:rsid w:val="007A1CD7"/>
    <w:rsid w:val="007A335F"/>
    <w:rsid w:val="007B2345"/>
    <w:rsid w:val="007C3B96"/>
    <w:rsid w:val="00833B72"/>
    <w:rsid w:val="00834022"/>
    <w:rsid w:val="00855272"/>
    <w:rsid w:val="00861A67"/>
    <w:rsid w:val="00896065"/>
    <w:rsid w:val="008B08B0"/>
    <w:rsid w:val="00906CCD"/>
    <w:rsid w:val="0091607A"/>
    <w:rsid w:val="00953B39"/>
    <w:rsid w:val="00956366"/>
    <w:rsid w:val="009757C2"/>
    <w:rsid w:val="00A07375"/>
    <w:rsid w:val="00A835FD"/>
    <w:rsid w:val="00A909AB"/>
    <w:rsid w:val="00AA3638"/>
    <w:rsid w:val="00AA5C73"/>
    <w:rsid w:val="00AD7A89"/>
    <w:rsid w:val="00B4541E"/>
    <w:rsid w:val="00BB1758"/>
    <w:rsid w:val="00C16FC7"/>
    <w:rsid w:val="00C3570B"/>
    <w:rsid w:val="00C912F0"/>
    <w:rsid w:val="00CC47D7"/>
    <w:rsid w:val="00D378E2"/>
    <w:rsid w:val="00D53FD0"/>
    <w:rsid w:val="00DB35D0"/>
    <w:rsid w:val="00DF6C64"/>
    <w:rsid w:val="00E24BF3"/>
    <w:rsid w:val="00E57DC9"/>
    <w:rsid w:val="00E66056"/>
    <w:rsid w:val="00EA1F5F"/>
    <w:rsid w:val="00F55BA6"/>
    <w:rsid w:val="00F5683B"/>
    <w:rsid w:val="00FB3CC1"/>
    <w:rsid w:val="00FB5911"/>
    <w:rsid w:val="00FB6436"/>
    <w:rsid w:val="00FC0100"/>
    <w:rsid w:val="00FC5C87"/>
    <w:rsid w:val="00FF3A39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D7"/>
    <w:pPr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7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D7"/>
    <w:rPr>
      <w:rFonts w:asciiTheme="minorHAnsi" w:eastAsiaTheme="minorEastAsia" w:hAnsiTheme="minorHAnsi" w:cstheme="minorBidi"/>
      <w:smallCaps/>
      <w:spacing w:val="5"/>
      <w:sz w:val="32"/>
      <w:szCs w:val="3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C47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47D7"/>
    <w:rPr>
      <w:rFonts w:asciiTheme="minorHAnsi" w:eastAsiaTheme="minorEastAsia" w:hAnsiTheme="minorHAnsi" w:cstheme="minorBidi"/>
      <w:smallCaps/>
      <w:sz w:val="48"/>
      <w:szCs w:val="48"/>
      <w:lang w:val="en-US" w:bidi="en-US"/>
    </w:rPr>
  </w:style>
  <w:style w:type="paragraph" w:styleId="ListParagraph">
    <w:name w:val="List Paragraph"/>
    <w:basedOn w:val="Normal"/>
    <w:uiPriority w:val="34"/>
    <w:qFormat/>
    <w:rsid w:val="00CC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41E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1E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541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41E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454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F8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F8C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5F8C"/>
    <w:rPr>
      <w:vertAlign w:val="superscript"/>
    </w:rPr>
  </w:style>
  <w:style w:type="table" w:styleId="TableGrid">
    <w:name w:val="Table Grid"/>
    <w:basedOn w:val="TableNormal"/>
    <w:uiPriority w:val="59"/>
    <w:rsid w:val="00D378E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A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6173-3019-4D55-B002-5960BF3F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paesmp2</dc:creator>
  <cp:keywords/>
  <dc:description/>
  <cp:lastModifiedBy>paesjes</cp:lastModifiedBy>
  <cp:revision>2</cp:revision>
  <cp:lastPrinted>2012-07-17T14:30:00Z</cp:lastPrinted>
  <dcterms:created xsi:type="dcterms:W3CDTF">2012-08-09T14:17:00Z</dcterms:created>
  <dcterms:modified xsi:type="dcterms:W3CDTF">2012-08-09T14:17:00Z</dcterms:modified>
</cp:coreProperties>
</file>